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667" w:rsidRPr="009A5EC0" w:rsidRDefault="00B52667" w:rsidP="00B52667">
      <w:pPr>
        <w:jc w:val="center"/>
        <w:rPr>
          <w:sz w:val="22"/>
          <w:szCs w:val="22"/>
        </w:rPr>
      </w:pPr>
      <w:r w:rsidRPr="009A5EC0">
        <w:rPr>
          <w:sz w:val="22"/>
          <w:szCs w:val="22"/>
        </w:rPr>
        <w:t>Florida Department of Environmental Protection</w:t>
      </w:r>
    </w:p>
    <w:p w:rsidR="00B52667" w:rsidRPr="009A5EC0" w:rsidRDefault="00B52667" w:rsidP="00B52667">
      <w:pPr>
        <w:spacing w:after="120"/>
        <w:jc w:val="center"/>
        <w:rPr>
          <w:sz w:val="22"/>
          <w:szCs w:val="22"/>
        </w:rPr>
      </w:pPr>
      <w:r w:rsidRPr="009A5EC0">
        <w:rPr>
          <w:sz w:val="22"/>
          <w:szCs w:val="22"/>
        </w:rPr>
        <w:t xml:space="preserve">Division of Air Resource Management, </w:t>
      </w:r>
      <w:r w:rsidR="00B50021">
        <w:rPr>
          <w:sz w:val="22"/>
          <w:szCs w:val="22"/>
        </w:rPr>
        <w:t>Office of Permitting and Compliance</w:t>
      </w:r>
    </w:p>
    <w:p w:rsidR="00B52667" w:rsidRPr="009A5EC0" w:rsidRDefault="008730CE" w:rsidP="00B52667">
      <w:pPr>
        <w:jc w:val="center"/>
        <w:outlineLvl w:val="0"/>
        <w:rPr>
          <w:sz w:val="22"/>
          <w:szCs w:val="22"/>
        </w:rPr>
      </w:pPr>
      <w:r w:rsidRPr="009A5EC0">
        <w:rPr>
          <w:sz w:val="22"/>
          <w:szCs w:val="22"/>
        </w:rPr>
        <w:t xml:space="preserve">Draft Air Permit No. </w:t>
      </w:r>
      <w:r w:rsidR="00190983" w:rsidRPr="00FD49CB">
        <w:rPr>
          <w:sz w:val="22"/>
          <w:szCs w:val="22"/>
        </w:rPr>
        <w:t>0</w:t>
      </w:r>
      <w:r w:rsidR="001B1DB9">
        <w:rPr>
          <w:sz w:val="22"/>
          <w:szCs w:val="22"/>
        </w:rPr>
        <w:t>11</w:t>
      </w:r>
      <w:r w:rsidR="00190983" w:rsidRPr="00FD49CB">
        <w:rPr>
          <w:sz w:val="22"/>
          <w:szCs w:val="22"/>
        </w:rPr>
        <w:t>00</w:t>
      </w:r>
      <w:r w:rsidR="001B1DB9">
        <w:rPr>
          <w:sz w:val="22"/>
          <w:szCs w:val="22"/>
        </w:rPr>
        <w:t>37</w:t>
      </w:r>
      <w:r w:rsidR="00190983" w:rsidRPr="00FD49CB">
        <w:rPr>
          <w:sz w:val="22"/>
          <w:szCs w:val="22"/>
        </w:rPr>
        <w:t>-0</w:t>
      </w:r>
      <w:r w:rsidR="001B1DB9">
        <w:rPr>
          <w:sz w:val="22"/>
          <w:szCs w:val="22"/>
        </w:rPr>
        <w:t>11</w:t>
      </w:r>
      <w:r w:rsidR="00190983" w:rsidRPr="00FD49CB">
        <w:rPr>
          <w:sz w:val="22"/>
          <w:szCs w:val="22"/>
        </w:rPr>
        <w:t>-AC</w:t>
      </w:r>
      <w:r w:rsidR="001B26BC">
        <w:rPr>
          <w:sz w:val="22"/>
          <w:szCs w:val="22"/>
        </w:rPr>
        <w:t xml:space="preserve"> </w:t>
      </w:r>
      <w:r>
        <w:rPr>
          <w:sz w:val="22"/>
          <w:szCs w:val="22"/>
        </w:rPr>
        <w:t xml:space="preserve">/ </w:t>
      </w:r>
      <w:r w:rsidR="001B26BC" w:rsidRPr="009A5EC0">
        <w:rPr>
          <w:sz w:val="22"/>
          <w:szCs w:val="22"/>
        </w:rPr>
        <w:t>PSD-FL-</w:t>
      </w:r>
      <w:r w:rsidR="00190983">
        <w:rPr>
          <w:sz w:val="22"/>
          <w:szCs w:val="22"/>
        </w:rPr>
        <w:t>42</w:t>
      </w:r>
      <w:r w:rsidR="001B1DB9">
        <w:rPr>
          <w:sz w:val="22"/>
          <w:szCs w:val="22"/>
        </w:rPr>
        <w:t>3</w:t>
      </w:r>
    </w:p>
    <w:p w:rsidR="00B52667" w:rsidRPr="009A5EC0" w:rsidRDefault="00190983" w:rsidP="00B52667">
      <w:pPr>
        <w:widowControl w:val="0"/>
        <w:jc w:val="center"/>
        <w:rPr>
          <w:sz w:val="22"/>
          <w:szCs w:val="22"/>
        </w:rPr>
      </w:pPr>
      <w:r>
        <w:rPr>
          <w:sz w:val="22"/>
          <w:szCs w:val="22"/>
        </w:rPr>
        <w:t>Florida Power &amp; Light Company (FPL)</w:t>
      </w:r>
      <w:r w:rsidR="009A5EC0">
        <w:rPr>
          <w:sz w:val="22"/>
          <w:szCs w:val="22"/>
        </w:rPr>
        <w:t xml:space="preserve">, </w:t>
      </w:r>
      <w:r w:rsidR="001B1DB9">
        <w:rPr>
          <w:sz w:val="22"/>
          <w:szCs w:val="22"/>
        </w:rPr>
        <w:t>Lauderdale</w:t>
      </w:r>
      <w:r w:rsidR="00482F8F" w:rsidRPr="00130D3E">
        <w:rPr>
          <w:sz w:val="22"/>
          <w:szCs w:val="22"/>
        </w:rPr>
        <w:t xml:space="preserve"> Plant</w:t>
      </w:r>
    </w:p>
    <w:p w:rsidR="00B52667" w:rsidRPr="009A5EC0" w:rsidRDefault="001B1DB9" w:rsidP="0035192B">
      <w:pPr>
        <w:spacing w:after="240"/>
        <w:jc w:val="center"/>
        <w:rPr>
          <w:sz w:val="22"/>
          <w:szCs w:val="22"/>
        </w:rPr>
      </w:pPr>
      <w:r>
        <w:rPr>
          <w:sz w:val="22"/>
          <w:szCs w:val="22"/>
        </w:rPr>
        <w:t>Broward</w:t>
      </w:r>
      <w:r w:rsidR="00B52667" w:rsidRPr="009A5EC0">
        <w:rPr>
          <w:sz w:val="22"/>
          <w:szCs w:val="22"/>
        </w:rPr>
        <w:t xml:space="preserve"> County, Florida</w:t>
      </w:r>
    </w:p>
    <w:p w:rsidR="00B52667" w:rsidRPr="009A5EC0" w:rsidRDefault="00B52667" w:rsidP="001B26BC">
      <w:pPr>
        <w:spacing w:after="120"/>
        <w:rPr>
          <w:sz w:val="22"/>
          <w:szCs w:val="22"/>
        </w:rPr>
      </w:pPr>
      <w:r w:rsidRPr="009A5EC0">
        <w:rPr>
          <w:b/>
          <w:sz w:val="22"/>
          <w:szCs w:val="22"/>
        </w:rPr>
        <w:t>Applicant</w:t>
      </w:r>
      <w:r w:rsidRPr="009A5EC0">
        <w:rPr>
          <w:sz w:val="22"/>
          <w:szCs w:val="22"/>
        </w:rPr>
        <w:t xml:space="preserve">:  The applicant for this project is </w:t>
      </w:r>
      <w:r w:rsidR="00190983">
        <w:rPr>
          <w:sz w:val="22"/>
          <w:szCs w:val="22"/>
        </w:rPr>
        <w:t>the Florida Power &amp; Light Company (FPL)</w:t>
      </w:r>
      <w:r w:rsidRPr="009A5EC0">
        <w:rPr>
          <w:sz w:val="22"/>
          <w:szCs w:val="22"/>
        </w:rPr>
        <w:t xml:space="preserve">.  The applicant’s authorized representative and mailing address is:  </w:t>
      </w:r>
      <w:r w:rsidR="00190983" w:rsidRPr="00875121">
        <w:rPr>
          <w:color w:val="000000"/>
          <w:sz w:val="22"/>
          <w:szCs w:val="22"/>
        </w:rPr>
        <w:t xml:space="preserve">Mr. </w:t>
      </w:r>
      <w:r w:rsidR="00190983">
        <w:rPr>
          <w:color w:val="000000"/>
          <w:sz w:val="22"/>
          <w:szCs w:val="22"/>
        </w:rPr>
        <w:t>Randall R. LaBauve</w:t>
      </w:r>
      <w:r w:rsidR="00190983" w:rsidRPr="00875121">
        <w:rPr>
          <w:color w:val="000000"/>
          <w:sz w:val="22"/>
          <w:szCs w:val="22"/>
        </w:rPr>
        <w:t xml:space="preserve">, </w:t>
      </w:r>
      <w:r w:rsidR="00190983">
        <w:rPr>
          <w:color w:val="000000"/>
          <w:sz w:val="22"/>
          <w:szCs w:val="22"/>
        </w:rPr>
        <w:t>Vice President of Environmental Services</w:t>
      </w:r>
      <w:r w:rsidR="009A5EC0" w:rsidRPr="00482F8F">
        <w:rPr>
          <w:sz w:val="22"/>
          <w:szCs w:val="22"/>
        </w:rPr>
        <w:t>,</w:t>
      </w:r>
      <w:r w:rsidR="00190983" w:rsidRPr="00190983">
        <w:rPr>
          <w:sz w:val="22"/>
          <w:szCs w:val="22"/>
        </w:rPr>
        <w:t xml:space="preserve"> </w:t>
      </w:r>
      <w:r w:rsidR="00190983">
        <w:rPr>
          <w:sz w:val="22"/>
          <w:szCs w:val="22"/>
        </w:rPr>
        <w:t>Florida Power &amp; Light Company (FPL)</w:t>
      </w:r>
      <w:r w:rsidR="00482F8F">
        <w:rPr>
          <w:sz w:val="22"/>
          <w:szCs w:val="22"/>
        </w:rPr>
        <w:t xml:space="preserve">, </w:t>
      </w:r>
      <w:r w:rsidR="00190983">
        <w:rPr>
          <w:sz w:val="22"/>
          <w:szCs w:val="22"/>
        </w:rPr>
        <w:t>700 Universe Boulevard, JES/JB</w:t>
      </w:r>
      <w:r w:rsidR="009A5EC0" w:rsidRPr="00482F8F">
        <w:rPr>
          <w:sz w:val="22"/>
          <w:szCs w:val="22"/>
        </w:rPr>
        <w:t xml:space="preserve">, </w:t>
      </w:r>
      <w:r w:rsidR="00190983">
        <w:rPr>
          <w:sz w:val="22"/>
          <w:szCs w:val="22"/>
        </w:rPr>
        <w:t>Juno Beach, Florida 33408</w:t>
      </w:r>
      <w:r w:rsidRPr="009A5EC0">
        <w:rPr>
          <w:sz w:val="22"/>
          <w:szCs w:val="22"/>
        </w:rPr>
        <w:t>.</w:t>
      </w:r>
    </w:p>
    <w:p w:rsidR="001B1DB9" w:rsidRPr="004357DC" w:rsidRDefault="00B52667" w:rsidP="0035192B">
      <w:pPr>
        <w:spacing w:after="120"/>
        <w:rPr>
          <w:sz w:val="22"/>
          <w:szCs w:val="22"/>
        </w:rPr>
      </w:pPr>
      <w:r w:rsidRPr="00482F8F">
        <w:rPr>
          <w:b/>
          <w:sz w:val="22"/>
          <w:szCs w:val="22"/>
        </w:rPr>
        <w:t>Facility Location</w:t>
      </w:r>
      <w:r w:rsidRPr="00482F8F">
        <w:rPr>
          <w:sz w:val="22"/>
          <w:szCs w:val="22"/>
        </w:rPr>
        <w:t xml:space="preserve">:  </w:t>
      </w:r>
      <w:r w:rsidR="001B1DB9">
        <w:rPr>
          <w:sz w:val="22"/>
          <w:szCs w:val="22"/>
        </w:rPr>
        <w:t xml:space="preserve">The existing </w:t>
      </w:r>
      <w:r w:rsidR="001B1DB9" w:rsidRPr="00FE5AD6">
        <w:rPr>
          <w:sz w:val="22"/>
          <w:szCs w:val="22"/>
        </w:rPr>
        <w:t>Lauderdale Pla</w:t>
      </w:r>
      <w:bookmarkStart w:id="0" w:name="_GoBack"/>
      <w:bookmarkEnd w:id="0"/>
      <w:r w:rsidR="001B1DB9" w:rsidRPr="00FE5AD6">
        <w:rPr>
          <w:sz w:val="22"/>
          <w:szCs w:val="22"/>
        </w:rPr>
        <w:t>nt is located within the city of Dania Beach in Broward County, Florida.</w:t>
      </w:r>
    </w:p>
    <w:p w:rsidR="006207C6" w:rsidRPr="00444E21" w:rsidRDefault="00B52667" w:rsidP="006207C6">
      <w:pPr>
        <w:spacing w:after="60"/>
        <w:rPr>
          <w:sz w:val="22"/>
          <w:szCs w:val="22"/>
        </w:rPr>
      </w:pPr>
      <w:r w:rsidRPr="009A5EC0">
        <w:rPr>
          <w:b/>
          <w:sz w:val="22"/>
          <w:szCs w:val="22"/>
        </w:rPr>
        <w:t>Project</w:t>
      </w:r>
      <w:r w:rsidRPr="009A5EC0">
        <w:rPr>
          <w:sz w:val="22"/>
          <w:szCs w:val="22"/>
        </w:rPr>
        <w:t xml:space="preserve">:  </w:t>
      </w:r>
      <w:r w:rsidR="001B1DB9">
        <w:rPr>
          <w:sz w:val="22"/>
          <w:szCs w:val="22"/>
        </w:rPr>
        <w:t>The project involves the</w:t>
      </w:r>
      <w:r w:rsidR="001B1DB9" w:rsidRPr="004357DC">
        <w:rPr>
          <w:sz w:val="22"/>
          <w:szCs w:val="22"/>
        </w:rPr>
        <w:t xml:space="preserve"> </w:t>
      </w:r>
      <w:r w:rsidR="001B1DB9" w:rsidRPr="00FE5AD6">
        <w:rPr>
          <w:sz w:val="22"/>
          <w:szCs w:val="22"/>
        </w:rPr>
        <w:t>replacement of 24 existing gas turbines (GT) peaking units (GT1 to GT24) at the FPL Lauderdale Plant.  The 24 GT</w:t>
      </w:r>
      <w:r w:rsidR="0035192B">
        <w:rPr>
          <w:sz w:val="22"/>
          <w:szCs w:val="22"/>
        </w:rPr>
        <w:t>s</w:t>
      </w:r>
      <w:r w:rsidR="001B1DB9" w:rsidRPr="00FE5AD6">
        <w:rPr>
          <w:sz w:val="22"/>
          <w:szCs w:val="22"/>
        </w:rPr>
        <w:t xml:space="preserve"> are composed of two banks of 12 each</w:t>
      </w:r>
      <w:r w:rsidR="0035192B">
        <w:rPr>
          <w:sz w:val="22"/>
          <w:szCs w:val="22"/>
        </w:rPr>
        <w:t>,</w:t>
      </w:r>
      <w:r w:rsidR="001B1DB9" w:rsidRPr="00FE5AD6">
        <w:rPr>
          <w:sz w:val="22"/>
          <w:szCs w:val="22"/>
        </w:rPr>
        <w:t xml:space="preserve"> with each bank having a nominal capacity of 504 megawatts (MW).  In addition, one bank of 12 existing GT peaking units (GT1 through GT12) at the FPL Port Everglades Plant will </w:t>
      </w:r>
      <w:r w:rsidR="0035192B">
        <w:rPr>
          <w:sz w:val="22"/>
          <w:szCs w:val="22"/>
        </w:rPr>
        <w:t xml:space="preserve">also </w:t>
      </w:r>
      <w:r w:rsidR="001B1DB9" w:rsidRPr="00FE5AD6">
        <w:rPr>
          <w:sz w:val="22"/>
          <w:szCs w:val="22"/>
        </w:rPr>
        <w:t>be retired as a result of this project.  The 36 GT</w:t>
      </w:r>
      <w:r w:rsidR="0035192B">
        <w:rPr>
          <w:sz w:val="22"/>
          <w:szCs w:val="22"/>
        </w:rPr>
        <w:t>s</w:t>
      </w:r>
      <w:r w:rsidR="001B1DB9" w:rsidRPr="00FE5AD6">
        <w:rPr>
          <w:sz w:val="22"/>
          <w:szCs w:val="22"/>
        </w:rPr>
        <w:t xml:space="preserve"> will be replaced with five nominal 200 MW combustion turbines (CT</w:t>
      </w:r>
      <w:r w:rsidR="008B6B72">
        <w:rPr>
          <w:sz w:val="22"/>
          <w:szCs w:val="22"/>
        </w:rPr>
        <w:t>s</w:t>
      </w:r>
      <w:r w:rsidR="001B1DB9" w:rsidRPr="00FE5AD6">
        <w:rPr>
          <w:sz w:val="22"/>
          <w:szCs w:val="22"/>
        </w:rPr>
        <w:t>) at the Lauderdale Plant to provide equivalent peaking resources while reducing emissions and providing better efficiency.  The new CT</w:t>
      </w:r>
      <w:r w:rsidR="008B6B72">
        <w:rPr>
          <w:sz w:val="22"/>
          <w:szCs w:val="22"/>
        </w:rPr>
        <w:t>s</w:t>
      </w:r>
      <w:r w:rsidR="001B1DB9" w:rsidRPr="00FE5AD6">
        <w:rPr>
          <w:sz w:val="22"/>
          <w:szCs w:val="22"/>
        </w:rPr>
        <w:t xml:space="preserve"> will be designated Units 6A through 6E at the Lauderdale Plant.</w:t>
      </w:r>
      <w:r w:rsidR="006207C6">
        <w:rPr>
          <w:sz w:val="22"/>
          <w:szCs w:val="22"/>
        </w:rPr>
        <w:t xml:space="preserve">  </w:t>
      </w:r>
      <w:r w:rsidR="00F0544F">
        <w:rPr>
          <w:sz w:val="22"/>
          <w:szCs w:val="22"/>
        </w:rPr>
        <w:t>T</w:t>
      </w:r>
      <w:r w:rsidR="006207C6" w:rsidRPr="001977BC">
        <w:rPr>
          <w:sz w:val="22"/>
          <w:szCs w:val="22"/>
        </w:rPr>
        <w:t xml:space="preserve">here will be no overlap of </w:t>
      </w:r>
      <w:r w:rsidR="006207C6">
        <w:rPr>
          <w:sz w:val="22"/>
          <w:szCs w:val="22"/>
        </w:rPr>
        <w:t xml:space="preserve">the </w:t>
      </w:r>
      <w:r w:rsidR="006207C6" w:rsidRPr="001977BC">
        <w:rPr>
          <w:sz w:val="22"/>
          <w:szCs w:val="22"/>
        </w:rPr>
        <w:t>operation between the</w:t>
      </w:r>
      <w:r w:rsidR="006207C6">
        <w:rPr>
          <w:sz w:val="22"/>
          <w:szCs w:val="22"/>
        </w:rPr>
        <w:t xml:space="preserve"> </w:t>
      </w:r>
      <w:r w:rsidR="006207C6" w:rsidRPr="001977BC">
        <w:rPr>
          <w:sz w:val="22"/>
          <w:szCs w:val="22"/>
        </w:rPr>
        <w:t>existing GT</w:t>
      </w:r>
      <w:r w:rsidR="008B6B72">
        <w:rPr>
          <w:sz w:val="22"/>
          <w:szCs w:val="22"/>
        </w:rPr>
        <w:t>s</w:t>
      </w:r>
      <w:r w:rsidR="006207C6" w:rsidRPr="001977BC">
        <w:rPr>
          <w:sz w:val="22"/>
          <w:szCs w:val="22"/>
        </w:rPr>
        <w:t xml:space="preserve"> and new CT</w:t>
      </w:r>
      <w:r w:rsidR="008B6B72">
        <w:rPr>
          <w:sz w:val="22"/>
          <w:szCs w:val="22"/>
        </w:rPr>
        <w:t xml:space="preserve">s </w:t>
      </w:r>
      <w:r w:rsidR="006207C6">
        <w:rPr>
          <w:sz w:val="22"/>
          <w:szCs w:val="22"/>
        </w:rPr>
        <w:t>and a condition of the permit will so stipulate.</w:t>
      </w:r>
      <w:r w:rsidR="00F0544F">
        <w:rPr>
          <w:sz w:val="22"/>
          <w:szCs w:val="22"/>
        </w:rPr>
        <w:t xml:space="preserve">  </w:t>
      </w:r>
      <w:r w:rsidR="006207C6" w:rsidRPr="00444E21">
        <w:rPr>
          <w:sz w:val="22"/>
          <w:szCs w:val="22"/>
        </w:rPr>
        <w:t>The CT</w:t>
      </w:r>
      <w:r w:rsidR="008B6B72">
        <w:rPr>
          <w:sz w:val="22"/>
          <w:szCs w:val="22"/>
        </w:rPr>
        <w:t>s</w:t>
      </w:r>
      <w:r w:rsidR="006207C6" w:rsidRPr="00444E21">
        <w:rPr>
          <w:sz w:val="22"/>
          <w:szCs w:val="22"/>
        </w:rPr>
        <w:t xml:space="preserve"> will </w:t>
      </w:r>
      <w:r w:rsidR="006207C6">
        <w:rPr>
          <w:sz w:val="22"/>
          <w:szCs w:val="22"/>
        </w:rPr>
        <w:t>fire</w:t>
      </w:r>
      <w:r w:rsidR="006207C6" w:rsidRPr="00444E21">
        <w:rPr>
          <w:sz w:val="22"/>
          <w:szCs w:val="22"/>
        </w:rPr>
        <w:t xml:space="preserve"> natural gas and ultra low sulfur </w:t>
      </w:r>
      <w:r w:rsidR="006207C6">
        <w:rPr>
          <w:sz w:val="22"/>
          <w:szCs w:val="22"/>
        </w:rPr>
        <w:t xml:space="preserve">(ULSD) </w:t>
      </w:r>
      <w:r w:rsidR="006207C6" w:rsidRPr="00444E21">
        <w:rPr>
          <w:sz w:val="22"/>
          <w:szCs w:val="22"/>
        </w:rPr>
        <w:t>distillate</w:t>
      </w:r>
      <w:r w:rsidR="006207C6">
        <w:rPr>
          <w:sz w:val="22"/>
          <w:szCs w:val="22"/>
        </w:rPr>
        <w:t xml:space="preserve"> fuel</w:t>
      </w:r>
      <w:r w:rsidR="006207C6" w:rsidRPr="00444E21">
        <w:rPr>
          <w:sz w:val="22"/>
          <w:szCs w:val="22"/>
        </w:rPr>
        <w:t xml:space="preserve"> oil.</w:t>
      </w:r>
      <w:r w:rsidR="006207C6">
        <w:rPr>
          <w:sz w:val="22"/>
          <w:szCs w:val="22"/>
        </w:rPr>
        <w:t xml:space="preserve">  FPL has requested that each CT be allowed to operate </w:t>
      </w:r>
      <w:r w:rsidR="006207C6" w:rsidRPr="001F78B3">
        <w:rPr>
          <w:color w:val="000000"/>
          <w:sz w:val="22"/>
          <w:szCs w:val="22"/>
        </w:rPr>
        <w:t>3,3</w:t>
      </w:r>
      <w:r w:rsidR="00FF7E2A">
        <w:rPr>
          <w:color w:val="000000"/>
          <w:sz w:val="22"/>
          <w:szCs w:val="22"/>
        </w:rPr>
        <w:t>0</w:t>
      </w:r>
      <w:r w:rsidR="006207C6" w:rsidRPr="001F78B3">
        <w:rPr>
          <w:color w:val="000000"/>
          <w:sz w:val="22"/>
          <w:szCs w:val="22"/>
        </w:rPr>
        <w:t>0 hours per year</w:t>
      </w:r>
      <w:r w:rsidR="0035192B">
        <w:rPr>
          <w:color w:val="000000"/>
          <w:sz w:val="22"/>
          <w:szCs w:val="22"/>
        </w:rPr>
        <w:t xml:space="preserve"> (hr/yr)</w:t>
      </w:r>
      <w:r w:rsidR="006207C6" w:rsidRPr="001F78B3">
        <w:rPr>
          <w:sz w:val="22"/>
          <w:szCs w:val="22"/>
        </w:rPr>
        <w:t xml:space="preserve"> </w:t>
      </w:r>
      <w:r w:rsidR="006207C6" w:rsidRPr="00444E21">
        <w:rPr>
          <w:sz w:val="22"/>
          <w:szCs w:val="22"/>
        </w:rPr>
        <w:t>at</w:t>
      </w:r>
      <w:r w:rsidR="006207C6">
        <w:rPr>
          <w:sz w:val="22"/>
          <w:szCs w:val="22"/>
        </w:rPr>
        <w:t xml:space="preserve"> </w:t>
      </w:r>
      <w:r w:rsidR="006207C6" w:rsidRPr="00444E21">
        <w:rPr>
          <w:sz w:val="22"/>
          <w:szCs w:val="22"/>
        </w:rPr>
        <w:t>base load conditions</w:t>
      </w:r>
      <w:r w:rsidR="006207C6" w:rsidRPr="001F78B3">
        <w:rPr>
          <w:color w:val="000000"/>
          <w:sz w:val="22"/>
          <w:szCs w:val="22"/>
        </w:rPr>
        <w:t xml:space="preserve">, </w:t>
      </w:r>
      <w:r w:rsidR="0035192B">
        <w:rPr>
          <w:color w:val="000000"/>
          <w:sz w:val="22"/>
          <w:szCs w:val="22"/>
        </w:rPr>
        <w:t>including</w:t>
      </w:r>
      <w:r w:rsidR="006207C6" w:rsidRPr="001F78B3">
        <w:rPr>
          <w:color w:val="000000"/>
          <w:sz w:val="22"/>
          <w:szCs w:val="22"/>
        </w:rPr>
        <w:t xml:space="preserve"> </w:t>
      </w:r>
      <w:r w:rsidR="006207C6">
        <w:rPr>
          <w:color w:val="000000"/>
          <w:sz w:val="22"/>
          <w:szCs w:val="22"/>
        </w:rPr>
        <w:t xml:space="preserve">up to </w:t>
      </w:r>
      <w:r w:rsidR="006207C6" w:rsidRPr="001F78B3">
        <w:rPr>
          <w:color w:val="000000"/>
          <w:sz w:val="22"/>
          <w:szCs w:val="22"/>
        </w:rPr>
        <w:t xml:space="preserve">500 </w:t>
      </w:r>
      <w:r w:rsidR="0035192B">
        <w:rPr>
          <w:color w:val="000000"/>
          <w:sz w:val="22"/>
          <w:szCs w:val="22"/>
        </w:rPr>
        <w:t>hr/yr</w:t>
      </w:r>
      <w:r w:rsidR="006207C6">
        <w:rPr>
          <w:color w:val="000000"/>
          <w:sz w:val="22"/>
          <w:szCs w:val="22"/>
        </w:rPr>
        <w:t xml:space="preserve"> </w:t>
      </w:r>
      <w:r w:rsidR="0035192B">
        <w:rPr>
          <w:color w:val="000000"/>
          <w:sz w:val="22"/>
          <w:szCs w:val="22"/>
        </w:rPr>
        <w:t>while</w:t>
      </w:r>
      <w:r w:rsidR="006207C6" w:rsidRPr="001F78B3">
        <w:rPr>
          <w:color w:val="000000"/>
          <w:sz w:val="22"/>
          <w:szCs w:val="22"/>
        </w:rPr>
        <w:t xml:space="preserve"> utilizing</w:t>
      </w:r>
      <w:r w:rsidR="006207C6" w:rsidRPr="001F78B3">
        <w:rPr>
          <w:sz w:val="22"/>
          <w:szCs w:val="22"/>
        </w:rPr>
        <w:t xml:space="preserve"> </w:t>
      </w:r>
      <w:r w:rsidR="006207C6">
        <w:rPr>
          <w:sz w:val="22"/>
          <w:szCs w:val="22"/>
        </w:rPr>
        <w:t xml:space="preserve">ULSD fuel </w:t>
      </w:r>
      <w:r w:rsidR="006207C6" w:rsidRPr="001F78B3">
        <w:rPr>
          <w:sz w:val="22"/>
          <w:szCs w:val="22"/>
        </w:rPr>
        <w:t>oil</w:t>
      </w:r>
      <w:r w:rsidR="006207C6" w:rsidRPr="00444E21">
        <w:rPr>
          <w:sz w:val="22"/>
          <w:szCs w:val="22"/>
        </w:rPr>
        <w:t>.</w:t>
      </w:r>
    </w:p>
    <w:p w:rsidR="00665AD4" w:rsidRPr="00665AD4" w:rsidRDefault="006207C6" w:rsidP="00665AD4">
      <w:pPr>
        <w:spacing w:after="120"/>
        <w:rPr>
          <w:sz w:val="22"/>
          <w:szCs w:val="22"/>
        </w:rPr>
      </w:pPr>
      <w:r>
        <w:rPr>
          <w:sz w:val="22"/>
          <w:szCs w:val="22"/>
        </w:rPr>
        <w:t>FPL has indicated that they</w:t>
      </w:r>
      <w:r w:rsidRPr="00AB73BD">
        <w:rPr>
          <w:sz w:val="22"/>
          <w:szCs w:val="22"/>
        </w:rPr>
        <w:t xml:space="preserve"> </w:t>
      </w:r>
      <w:r>
        <w:rPr>
          <w:sz w:val="22"/>
          <w:szCs w:val="22"/>
        </w:rPr>
        <w:t>will</w:t>
      </w:r>
      <w:r w:rsidRPr="00AB73BD">
        <w:rPr>
          <w:sz w:val="22"/>
          <w:szCs w:val="22"/>
        </w:rPr>
        <w:t xml:space="preserve"> </w:t>
      </w:r>
      <w:r w:rsidR="00F0544F">
        <w:rPr>
          <w:sz w:val="22"/>
          <w:szCs w:val="22"/>
        </w:rPr>
        <w:t>install</w:t>
      </w:r>
      <w:r w:rsidRPr="00AB73BD">
        <w:rPr>
          <w:sz w:val="22"/>
          <w:szCs w:val="22"/>
        </w:rPr>
        <w:t xml:space="preserve"> four nominal 3,</w:t>
      </w:r>
      <w:r>
        <w:rPr>
          <w:sz w:val="22"/>
          <w:szCs w:val="22"/>
        </w:rPr>
        <w:t>1</w:t>
      </w:r>
      <w:r w:rsidRPr="00AB73BD">
        <w:rPr>
          <w:sz w:val="22"/>
          <w:szCs w:val="22"/>
        </w:rPr>
        <w:t xml:space="preserve">00 kilowatt </w:t>
      </w:r>
      <w:r w:rsidR="008B6B72">
        <w:rPr>
          <w:sz w:val="22"/>
          <w:szCs w:val="22"/>
        </w:rPr>
        <w:t xml:space="preserve">reciprocating internal combustion engine (RICE) </w:t>
      </w:r>
      <w:r w:rsidRPr="00AB73BD">
        <w:rPr>
          <w:sz w:val="22"/>
          <w:szCs w:val="22"/>
        </w:rPr>
        <w:t xml:space="preserve">emergency generators firing ULSD </w:t>
      </w:r>
      <w:r>
        <w:rPr>
          <w:sz w:val="22"/>
          <w:szCs w:val="22"/>
        </w:rPr>
        <w:t xml:space="preserve">fuel </w:t>
      </w:r>
      <w:r w:rsidRPr="00AB73BD">
        <w:rPr>
          <w:sz w:val="22"/>
          <w:szCs w:val="22"/>
        </w:rPr>
        <w:t>oil</w:t>
      </w:r>
      <w:r>
        <w:rPr>
          <w:sz w:val="22"/>
          <w:szCs w:val="22"/>
        </w:rPr>
        <w:t xml:space="preserve"> </w:t>
      </w:r>
      <w:r w:rsidRPr="00AB73BD">
        <w:rPr>
          <w:sz w:val="22"/>
          <w:szCs w:val="22"/>
        </w:rPr>
        <w:t>for black start capability</w:t>
      </w:r>
      <w:r>
        <w:rPr>
          <w:sz w:val="22"/>
          <w:szCs w:val="22"/>
        </w:rPr>
        <w:t>, i.e., t</w:t>
      </w:r>
      <w:r w:rsidRPr="00AB73BD">
        <w:rPr>
          <w:sz w:val="22"/>
          <w:szCs w:val="22"/>
        </w:rPr>
        <w:t>hese emergency generators will be used when electric</w:t>
      </w:r>
      <w:r w:rsidR="0035192B">
        <w:rPr>
          <w:sz w:val="22"/>
          <w:szCs w:val="22"/>
        </w:rPr>
        <w:t>al</w:t>
      </w:r>
      <w:r w:rsidRPr="00AB73BD">
        <w:rPr>
          <w:sz w:val="22"/>
          <w:szCs w:val="22"/>
        </w:rPr>
        <w:t xml:space="preserve"> power is not available</w:t>
      </w:r>
      <w:r>
        <w:rPr>
          <w:sz w:val="22"/>
          <w:szCs w:val="22"/>
        </w:rPr>
        <w:t xml:space="preserve"> </w:t>
      </w:r>
      <w:r w:rsidRPr="00AB73BD">
        <w:rPr>
          <w:sz w:val="22"/>
          <w:szCs w:val="22"/>
        </w:rPr>
        <w:t>to start the CT</w:t>
      </w:r>
      <w:r w:rsidR="008B6B72">
        <w:rPr>
          <w:sz w:val="22"/>
          <w:szCs w:val="22"/>
        </w:rPr>
        <w:t>s</w:t>
      </w:r>
      <w:r w:rsidRPr="00AB73BD">
        <w:rPr>
          <w:sz w:val="22"/>
          <w:szCs w:val="22"/>
        </w:rPr>
        <w:t xml:space="preserve">. </w:t>
      </w:r>
      <w:r>
        <w:rPr>
          <w:sz w:val="22"/>
          <w:szCs w:val="22"/>
        </w:rPr>
        <w:t xml:space="preserve"> </w:t>
      </w:r>
      <w:r w:rsidRPr="00AB73BD">
        <w:rPr>
          <w:sz w:val="22"/>
          <w:szCs w:val="22"/>
        </w:rPr>
        <w:t xml:space="preserve">This primarily would occur during catastrophic events such as hurricanes. </w:t>
      </w:r>
      <w:r w:rsidR="0035192B">
        <w:rPr>
          <w:sz w:val="22"/>
          <w:szCs w:val="22"/>
        </w:rPr>
        <w:t xml:space="preserve"> </w:t>
      </w:r>
      <w:r>
        <w:rPr>
          <w:sz w:val="22"/>
          <w:szCs w:val="22"/>
        </w:rPr>
        <w:t>The generators would be limited to</w:t>
      </w:r>
      <w:r w:rsidRPr="00AB73BD">
        <w:rPr>
          <w:sz w:val="22"/>
          <w:szCs w:val="22"/>
        </w:rPr>
        <w:t xml:space="preserve"> 100 </w:t>
      </w:r>
      <w:r w:rsidR="008B6B72">
        <w:rPr>
          <w:sz w:val="22"/>
          <w:szCs w:val="22"/>
        </w:rPr>
        <w:t>hr/yr</w:t>
      </w:r>
      <w:r w:rsidR="00F0544F">
        <w:rPr>
          <w:sz w:val="22"/>
          <w:szCs w:val="22"/>
        </w:rPr>
        <w:t xml:space="preserve"> of</w:t>
      </w:r>
      <w:r w:rsidRPr="00AB73BD">
        <w:rPr>
          <w:sz w:val="22"/>
          <w:szCs w:val="22"/>
        </w:rPr>
        <w:t xml:space="preserve"> operation </w:t>
      </w:r>
      <w:r>
        <w:rPr>
          <w:sz w:val="22"/>
          <w:szCs w:val="22"/>
        </w:rPr>
        <w:t xml:space="preserve">for </w:t>
      </w:r>
      <w:r w:rsidRPr="00AB73BD">
        <w:rPr>
          <w:sz w:val="22"/>
          <w:szCs w:val="22"/>
        </w:rPr>
        <w:t>maintenance and reliability testing</w:t>
      </w:r>
      <w:r w:rsidR="008B6B72">
        <w:rPr>
          <w:sz w:val="22"/>
          <w:szCs w:val="22"/>
        </w:rPr>
        <w:t xml:space="preserve">. </w:t>
      </w:r>
      <w:r w:rsidR="008B6B72" w:rsidRPr="008B6B72">
        <w:rPr>
          <w:sz w:val="22"/>
          <w:szCs w:val="22"/>
        </w:rPr>
        <w:t xml:space="preserve"> </w:t>
      </w:r>
      <w:r w:rsidR="008B6B72" w:rsidRPr="00AB73BD">
        <w:rPr>
          <w:sz w:val="22"/>
          <w:szCs w:val="22"/>
        </w:rPr>
        <w:t>Alternatively,</w:t>
      </w:r>
      <w:r w:rsidR="008B6B72">
        <w:rPr>
          <w:sz w:val="22"/>
          <w:szCs w:val="22"/>
        </w:rPr>
        <w:t xml:space="preserve"> FPL has requested that</w:t>
      </w:r>
      <w:r w:rsidR="008B6B72" w:rsidRPr="00AB73BD">
        <w:rPr>
          <w:sz w:val="22"/>
          <w:szCs w:val="22"/>
        </w:rPr>
        <w:t xml:space="preserve"> two of the </w:t>
      </w:r>
      <w:r w:rsidR="008B6B72" w:rsidRPr="002C3372">
        <w:rPr>
          <w:sz w:val="22"/>
          <w:szCs w:val="22"/>
        </w:rPr>
        <w:t xml:space="preserve">existing GTs </w:t>
      </w:r>
      <w:r w:rsidR="008B6B72" w:rsidRPr="00AB73BD">
        <w:rPr>
          <w:sz w:val="22"/>
          <w:szCs w:val="22"/>
        </w:rPr>
        <w:t xml:space="preserve">may </w:t>
      </w:r>
      <w:r w:rsidR="008B6B72">
        <w:rPr>
          <w:sz w:val="22"/>
          <w:szCs w:val="22"/>
        </w:rPr>
        <w:t>remain on-site to provide the necessary</w:t>
      </w:r>
      <w:r w:rsidR="008B6B72" w:rsidRPr="00AB73BD">
        <w:rPr>
          <w:sz w:val="22"/>
          <w:szCs w:val="22"/>
        </w:rPr>
        <w:t xml:space="preserve"> black start capability</w:t>
      </w:r>
      <w:r w:rsidR="008B6B72">
        <w:rPr>
          <w:sz w:val="22"/>
          <w:szCs w:val="22"/>
        </w:rPr>
        <w:t xml:space="preserve">.  These GTs would also be limited to 100 hr/yr of operation.  </w:t>
      </w:r>
      <w:r w:rsidR="001B1DB9">
        <w:rPr>
          <w:sz w:val="22"/>
          <w:szCs w:val="22"/>
        </w:rPr>
        <w:t>In addition, the project will add</w:t>
      </w:r>
      <w:r w:rsidR="001B1DB9" w:rsidRPr="00131643">
        <w:rPr>
          <w:sz w:val="22"/>
          <w:szCs w:val="22"/>
        </w:rPr>
        <w:t xml:space="preserve"> a 300 horsepower fire pump engine </w:t>
      </w:r>
      <w:r w:rsidR="00F0544F">
        <w:rPr>
          <w:sz w:val="22"/>
          <w:szCs w:val="22"/>
        </w:rPr>
        <w:t>that uses</w:t>
      </w:r>
      <w:r w:rsidR="001B1DB9" w:rsidRPr="00131643">
        <w:rPr>
          <w:sz w:val="22"/>
          <w:szCs w:val="22"/>
        </w:rPr>
        <w:t xml:space="preserve"> ULSD </w:t>
      </w:r>
      <w:r w:rsidR="00F0544F">
        <w:rPr>
          <w:sz w:val="22"/>
          <w:szCs w:val="22"/>
        </w:rPr>
        <w:t xml:space="preserve">fuel </w:t>
      </w:r>
      <w:r w:rsidR="001B1DB9" w:rsidRPr="00131643">
        <w:rPr>
          <w:sz w:val="22"/>
          <w:szCs w:val="22"/>
        </w:rPr>
        <w:t xml:space="preserve">oil.  </w:t>
      </w:r>
      <w:r w:rsidR="001B1DB9">
        <w:rPr>
          <w:sz w:val="22"/>
          <w:szCs w:val="22"/>
        </w:rPr>
        <w:t>The fire pump engine will also be limited to</w:t>
      </w:r>
      <w:r w:rsidR="001B1DB9" w:rsidRPr="00AB73BD">
        <w:rPr>
          <w:sz w:val="22"/>
          <w:szCs w:val="22"/>
        </w:rPr>
        <w:t xml:space="preserve"> 100 </w:t>
      </w:r>
      <w:r w:rsidR="0035192B">
        <w:rPr>
          <w:sz w:val="22"/>
          <w:szCs w:val="22"/>
        </w:rPr>
        <w:t>hr/yr</w:t>
      </w:r>
      <w:r w:rsidR="00F0544F">
        <w:rPr>
          <w:sz w:val="22"/>
          <w:szCs w:val="22"/>
        </w:rPr>
        <w:t xml:space="preserve"> of</w:t>
      </w:r>
      <w:r w:rsidR="001B1DB9" w:rsidRPr="00AB73BD">
        <w:rPr>
          <w:sz w:val="22"/>
          <w:szCs w:val="22"/>
        </w:rPr>
        <w:t xml:space="preserve"> operation </w:t>
      </w:r>
      <w:r w:rsidR="001B1DB9">
        <w:rPr>
          <w:sz w:val="22"/>
          <w:szCs w:val="22"/>
        </w:rPr>
        <w:t xml:space="preserve">for </w:t>
      </w:r>
      <w:r w:rsidR="001B1DB9" w:rsidRPr="00AB73BD">
        <w:rPr>
          <w:sz w:val="22"/>
          <w:szCs w:val="22"/>
        </w:rPr>
        <w:t>maintenance and reliability testing.</w:t>
      </w:r>
      <w:r w:rsidR="001B1DB9">
        <w:rPr>
          <w:sz w:val="22"/>
          <w:szCs w:val="22"/>
        </w:rPr>
        <w:t xml:space="preserve">  </w:t>
      </w:r>
      <w:r w:rsidR="001B1DB9" w:rsidRPr="00131643">
        <w:rPr>
          <w:sz w:val="22"/>
          <w:szCs w:val="22"/>
        </w:rPr>
        <w:t xml:space="preserve">Finally, the Lauderdale project will </w:t>
      </w:r>
      <w:r w:rsidR="001B1DB9">
        <w:rPr>
          <w:sz w:val="22"/>
          <w:szCs w:val="22"/>
        </w:rPr>
        <w:t>add</w:t>
      </w:r>
      <w:r w:rsidR="001B1DB9" w:rsidRPr="00131643">
        <w:rPr>
          <w:sz w:val="22"/>
          <w:szCs w:val="22"/>
        </w:rPr>
        <w:t xml:space="preserve"> two 3-million gallon ULSD fuel oil storage tanks.</w:t>
      </w:r>
    </w:p>
    <w:p w:rsidR="00B52667" w:rsidRPr="00865CD9" w:rsidRDefault="00B52667" w:rsidP="00865CD9">
      <w:pPr>
        <w:spacing w:after="120"/>
        <w:rPr>
          <w:bCs/>
          <w:sz w:val="22"/>
          <w:szCs w:val="22"/>
        </w:rPr>
      </w:pPr>
      <w:r w:rsidRPr="00865CD9">
        <w:rPr>
          <w:bCs/>
          <w:sz w:val="22"/>
          <w:szCs w:val="22"/>
        </w:rPr>
        <w:t>Based on the air permit application</w:t>
      </w:r>
      <w:r w:rsidR="008B6B72">
        <w:rPr>
          <w:bCs/>
          <w:sz w:val="22"/>
          <w:szCs w:val="22"/>
        </w:rPr>
        <w:t xml:space="preserve"> submitted by FPL,</w:t>
      </w:r>
      <w:r w:rsidR="00936894">
        <w:rPr>
          <w:bCs/>
          <w:sz w:val="22"/>
          <w:szCs w:val="22"/>
        </w:rPr>
        <w:t xml:space="preserve"> and taking into account the </w:t>
      </w:r>
      <w:r w:rsidR="00F0544F">
        <w:rPr>
          <w:bCs/>
          <w:sz w:val="22"/>
          <w:szCs w:val="22"/>
        </w:rPr>
        <w:t>reduction</w:t>
      </w:r>
      <w:r w:rsidR="00936894">
        <w:rPr>
          <w:bCs/>
          <w:sz w:val="22"/>
          <w:szCs w:val="22"/>
        </w:rPr>
        <w:t xml:space="preserve"> in emissions from the </w:t>
      </w:r>
      <w:r w:rsidR="00F0544F">
        <w:rPr>
          <w:bCs/>
          <w:sz w:val="22"/>
          <w:szCs w:val="22"/>
        </w:rPr>
        <w:t>retired</w:t>
      </w:r>
      <w:r w:rsidR="00936894">
        <w:rPr>
          <w:bCs/>
          <w:sz w:val="22"/>
          <w:szCs w:val="22"/>
        </w:rPr>
        <w:t xml:space="preserve"> and replaced GT units,</w:t>
      </w:r>
      <w:r w:rsidRPr="00865CD9">
        <w:rPr>
          <w:bCs/>
          <w:sz w:val="22"/>
          <w:szCs w:val="22"/>
        </w:rPr>
        <w:t xml:space="preserve"> the project will result in emissions </w:t>
      </w:r>
      <w:r w:rsidRPr="001B26BC">
        <w:rPr>
          <w:bCs/>
          <w:sz w:val="22"/>
          <w:szCs w:val="22"/>
        </w:rPr>
        <w:t>increases</w:t>
      </w:r>
      <w:r w:rsidRPr="00865CD9">
        <w:rPr>
          <w:bCs/>
          <w:sz w:val="22"/>
          <w:szCs w:val="22"/>
        </w:rPr>
        <w:t xml:space="preserve"> of:  </w:t>
      </w:r>
      <w:r w:rsidR="00936894">
        <w:rPr>
          <w:bCs/>
          <w:sz w:val="22"/>
          <w:szCs w:val="22"/>
        </w:rPr>
        <w:t>475</w:t>
      </w:r>
      <w:r w:rsidRPr="008556FD">
        <w:rPr>
          <w:bCs/>
          <w:sz w:val="22"/>
          <w:szCs w:val="22"/>
        </w:rPr>
        <w:t xml:space="preserve"> tons per year </w:t>
      </w:r>
      <w:r w:rsidR="008556FD">
        <w:rPr>
          <w:bCs/>
          <w:sz w:val="22"/>
          <w:szCs w:val="22"/>
        </w:rPr>
        <w:t>carbon monoxide (</w:t>
      </w:r>
      <w:r w:rsidRPr="008556FD">
        <w:rPr>
          <w:bCs/>
          <w:sz w:val="22"/>
          <w:szCs w:val="22"/>
        </w:rPr>
        <w:t>CO</w:t>
      </w:r>
      <w:r w:rsidR="008556FD">
        <w:rPr>
          <w:bCs/>
          <w:sz w:val="22"/>
          <w:szCs w:val="22"/>
        </w:rPr>
        <w:t>)</w:t>
      </w:r>
      <w:r w:rsidRPr="008556FD">
        <w:rPr>
          <w:bCs/>
          <w:sz w:val="22"/>
          <w:szCs w:val="22"/>
        </w:rPr>
        <w:t xml:space="preserve">; </w:t>
      </w:r>
      <w:r w:rsidR="00936894">
        <w:rPr>
          <w:bCs/>
          <w:sz w:val="22"/>
          <w:szCs w:val="22"/>
        </w:rPr>
        <w:t>749</w:t>
      </w:r>
      <w:r w:rsidR="00F15093" w:rsidRPr="008556FD">
        <w:rPr>
          <w:bCs/>
          <w:sz w:val="22"/>
          <w:szCs w:val="22"/>
        </w:rPr>
        <w:t xml:space="preserve"> tons per year of </w:t>
      </w:r>
      <w:r w:rsidR="008556FD" w:rsidRPr="00665AD4">
        <w:rPr>
          <w:sz w:val="22"/>
          <w:szCs w:val="22"/>
        </w:rPr>
        <w:t>nitrogen oxides (NO</w:t>
      </w:r>
      <w:r w:rsidR="008556FD" w:rsidRPr="00665AD4">
        <w:rPr>
          <w:sz w:val="22"/>
          <w:szCs w:val="22"/>
          <w:vertAlign w:val="subscript"/>
        </w:rPr>
        <w:t>X</w:t>
      </w:r>
      <w:r w:rsidR="008556FD" w:rsidRPr="00665AD4">
        <w:rPr>
          <w:sz w:val="22"/>
          <w:szCs w:val="22"/>
        </w:rPr>
        <w:t>)</w:t>
      </w:r>
      <w:r w:rsidR="00F15093" w:rsidRPr="008556FD">
        <w:rPr>
          <w:bCs/>
          <w:sz w:val="22"/>
          <w:szCs w:val="22"/>
        </w:rPr>
        <w:t xml:space="preserve">; </w:t>
      </w:r>
      <w:r w:rsidR="00936894">
        <w:rPr>
          <w:bCs/>
          <w:sz w:val="22"/>
          <w:szCs w:val="22"/>
        </w:rPr>
        <w:t>132</w:t>
      </w:r>
      <w:r w:rsidR="008556FD" w:rsidRPr="008556FD">
        <w:rPr>
          <w:bCs/>
          <w:sz w:val="22"/>
          <w:szCs w:val="22"/>
        </w:rPr>
        <w:t xml:space="preserve"> </w:t>
      </w:r>
      <w:r w:rsidRPr="008556FD">
        <w:rPr>
          <w:bCs/>
          <w:sz w:val="22"/>
          <w:szCs w:val="22"/>
        </w:rPr>
        <w:t>tons per year of</w:t>
      </w:r>
      <w:r w:rsidR="008556FD">
        <w:rPr>
          <w:bCs/>
          <w:sz w:val="22"/>
          <w:szCs w:val="22"/>
        </w:rPr>
        <w:t xml:space="preserve"> particulate matter (</w:t>
      </w:r>
      <w:r w:rsidRPr="008556FD">
        <w:rPr>
          <w:bCs/>
          <w:sz w:val="22"/>
          <w:szCs w:val="22"/>
        </w:rPr>
        <w:t>PM</w:t>
      </w:r>
      <w:r w:rsidR="008556FD">
        <w:rPr>
          <w:bCs/>
          <w:sz w:val="22"/>
          <w:szCs w:val="22"/>
        </w:rPr>
        <w:t>)</w:t>
      </w:r>
      <w:r w:rsidRPr="008556FD">
        <w:rPr>
          <w:bCs/>
          <w:sz w:val="22"/>
          <w:szCs w:val="22"/>
        </w:rPr>
        <w:t xml:space="preserve">; </w:t>
      </w:r>
      <w:r w:rsidR="00936894">
        <w:rPr>
          <w:bCs/>
          <w:sz w:val="22"/>
          <w:szCs w:val="22"/>
        </w:rPr>
        <w:t>132</w:t>
      </w:r>
      <w:r w:rsidR="00F90BBF" w:rsidRPr="008556FD">
        <w:rPr>
          <w:bCs/>
          <w:sz w:val="22"/>
          <w:szCs w:val="22"/>
        </w:rPr>
        <w:t xml:space="preserve"> </w:t>
      </w:r>
      <w:r w:rsidRPr="008556FD">
        <w:rPr>
          <w:bCs/>
          <w:sz w:val="22"/>
          <w:szCs w:val="22"/>
        </w:rPr>
        <w:t xml:space="preserve">tons per year of </w:t>
      </w:r>
      <w:r w:rsidR="008556FD">
        <w:rPr>
          <w:sz w:val="22"/>
          <w:szCs w:val="22"/>
        </w:rPr>
        <w:t>PM</w:t>
      </w:r>
      <w:r w:rsidR="008556FD" w:rsidRPr="00665AD4">
        <w:rPr>
          <w:sz w:val="22"/>
          <w:szCs w:val="22"/>
        </w:rPr>
        <w:t xml:space="preserve"> with a mean diameter of 10 micrometer (µm) or less (PM</w:t>
      </w:r>
      <w:r w:rsidR="008556FD" w:rsidRPr="00665AD4">
        <w:rPr>
          <w:sz w:val="22"/>
          <w:szCs w:val="22"/>
          <w:vertAlign w:val="subscript"/>
        </w:rPr>
        <w:t>10</w:t>
      </w:r>
      <w:r w:rsidR="008556FD" w:rsidRPr="00665AD4">
        <w:rPr>
          <w:sz w:val="22"/>
          <w:szCs w:val="22"/>
        </w:rPr>
        <w:t>)</w:t>
      </w:r>
      <w:r w:rsidRPr="008556FD">
        <w:rPr>
          <w:bCs/>
          <w:sz w:val="22"/>
          <w:szCs w:val="22"/>
        </w:rPr>
        <w:t xml:space="preserve">; </w:t>
      </w:r>
      <w:r w:rsidR="00936894">
        <w:rPr>
          <w:bCs/>
          <w:sz w:val="22"/>
          <w:szCs w:val="22"/>
        </w:rPr>
        <w:t>132</w:t>
      </w:r>
      <w:r w:rsidR="00F90BBF" w:rsidRPr="008556FD">
        <w:rPr>
          <w:bCs/>
          <w:sz w:val="22"/>
          <w:szCs w:val="22"/>
        </w:rPr>
        <w:t xml:space="preserve"> tons per year of </w:t>
      </w:r>
      <w:r w:rsidR="008556FD" w:rsidRPr="00665AD4">
        <w:rPr>
          <w:sz w:val="22"/>
          <w:szCs w:val="22"/>
        </w:rPr>
        <w:t>PM with a mean diameter of 2.5 µm or less (PM</w:t>
      </w:r>
      <w:r w:rsidR="008556FD" w:rsidRPr="00665AD4">
        <w:rPr>
          <w:sz w:val="22"/>
          <w:szCs w:val="22"/>
          <w:vertAlign w:val="subscript"/>
        </w:rPr>
        <w:t>2.5</w:t>
      </w:r>
      <w:r w:rsidR="008556FD" w:rsidRPr="00665AD4">
        <w:rPr>
          <w:sz w:val="22"/>
          <w:szCs w:val="22"/>
        </w:rPr>
        <w:t>)</w:t>
      </w:r>
      <w:r w:rsidR="00F90BBF" w:rsidRPr="008556FD">
        <w:rPr>
          <w:bCs/>
          <w:sz w:val="22"/>
          <w:szCs w:val="22"/>
        </w:rPr>
        <w:t>;</w:t>
      </w:r>
      <w:r w:rsidRPr="008556FD">
        <w:rPr>
          <w:bCs/>
          <w:sz w:val="22"/>
          <w:szCs w:val="22"/>
        </w:rPr>
        <w:t xml:space="preserve"> </w:t>
      </w:r>
      <w:r w:rsidR="00936894">
        <w:rPr>
          <w:bCs/>
          <w:sz w:val="22"/>
          <w:szCs w:val="22"/>
        </w:rPr>
        <w:t>34</w:t>
      </w:r>
      <w:r w:rsidR="00F15093" w:rsidRPr="008556FD">
        <w:rPr>
          <w:bCs/>
          <w:sz w:val="22"/>
          <w:szCs w:val="22"/>
        </w:rPr>
        <w:t xml:space="preserve"> tons per year of sulfur dioxide (SO</w:t>
      </w:r>
      <w:r w:rsidR="00F15093" w:rsidRPr="008556FD">
        <w:rPr>
          <w:bCs/>
          <w:sz w:val="22"/>
          <w:szCs w:val="22"/>
          <w:vertAlign w:val="subscript"/>
        </w:rPr>
        <w:t>2</w:t>
      </w:r>
      <w:r w:rsidR="00F15093" w:rsidRPr="008556FD">
        <w:rPr>
          <w:bCs/>
          <w:sz w:val="22"/>
          <w:szCs w:val="22"/>
        </w:rPr>
        <w:t>);</w:t>
      </w:r>
      <w:r w:rsidR="00F83BA2" w:rsidRPr="008556FD">
        <w:rPr>
          <w:bCs/>
          <w:sz w:val="22"/>
          <w:szCs w:val="22"/>
        </w:rPr>
        <w:t xml:space="preserve"> and</w:t>
      </w:r>
      <w:r w:rsidR="00F15093" w:rsidRPr="008556FD">
        <w:rPr>
          <w:bCs/>
          <w:sz w:val="22"/>
          <w:szCs w:val="22"/>
        </w:rPr>
        <w:t xml:space="preserve"> </w:t>
      </w:r>
      <w:r w:rsidR="00936894">
        <w:rPr>
          <w:bCs/>
          <w:sz w:val="22"/>
          <w:szCs w:val="22"/>
        </w:rPr>
        <w:t>70</w:t>
      </w:r>
      <w:r w:rsidRPr="008556FD">
        <w:rPr>
          <w:bCs/>
          <w:sz w:val="22"/>
          <w:szCs w:val="22"/>
        </w:rPr>
        <w:t xml:space="preserve"> tons per year of volatile organic compounds (VOC).</w:t>
      </w:r>
      <w:r w:rsidRPr="00865CD9">
        <w:rPr>
          <w:bCs/>
          <w:sz w:val="22"/>
          <w:szCs w:val="22"/>
        </w:rPr>
        <w:t xml:space="preserve">  As defined in Rule 62-210.</w:t>
      </w:r>
      <w:r w:rsidR="009524C0">
        <w:rPr>
          <w:bCs/>
          <w:sz w:val="22"/>
          <w:szCs w:val="22"/>
        </w:rPr>
        <w:t xml:space="preserve">200, </w:t>
      </w:r>
      <w:r w:rsidRPr="00865CD9">
        <w:rPr>
          <w:bCs/>
          <w:sz w:val="22"/>
          <w:szCs w:val="22"/>
        </w:rPr>
        <w:t xml:space="preserve">F.A.C., the project results in significant net emissions increases </w:t>
      </w:r>
      <w:r w:rsidRPr="008556FD">
        <w:rPr>
          <w:bCs/>
          <w:sz w:val="22"/>
          <w:szCs w:val="22"/>
        </w:rPr>
        <w:t xml:space="preserve">for CO, </w:t>
      </w:r>
      <w:r w:rsidR="00BE279B" w:rsidRPr="008556FD">
        <w:rPr>
          <w:bCs/>
          <w:sz w:val="22"/>
          <w:szCs w:val="22"/>
        </w:rPr>
        <w:t>NO</w:t>
      </w:r>
      <w:r w:rsidR="00BE279B" w:rsidRPr="008556FD">
        <w:rPr>
          <w:bCs/>
          <w:sz w:val="22"/>
          <w:szCs w:val="22"/>
          <w:vertAlign w:val="subscript"/>
        </w:rPr>
        <w:t>X</w:t>
      </w:r>
      <w:r w:rsidR="00BE279B" w:rsidRPr="008556FD">
        <w:rPr>
          <w:bCs/>
          <w:sz w:val="22"/>
          <w:szCs w:val="22"/>
        </w:rPr>
        <w:t xml:space="preserve">, </w:t>
      </w:r>
      <w:r w:rsidR="00FF7E2A">
        <w:rPr>
          <w:bCs/>
          <w:sz w:val="22"/>
          <w:szCs w:val="22"/>
        </w:rPr>
        <w:t xml:space="preserve">VOC, </w:t>
      </w:r>
      <w:r w:rsidR="00240F90">
        <w:rPr>
          <w:bCs/>
          <w:sz w:val="22"/>
          <w:szCs w:val="22"/>
        </w:rPr>
        <w:t xml:space="preserve">PM, </w:t>
      </w:r>
      <w:r w:rsidRPr="008556FD">
        <w:rPr>
          <w:bCs/>
          <w:sz w:val="22"/>
          <w:szCs w:val="22"/>
        </w:rPr>
        <w:t>PM</w:t>
      </w:r>
      <w:r w:rsidRPr="008556FD">
        <w:rPr>
          <w:bCs/>
          <w:sz w:val="22"/>
          <w:szCs w:val="22"/>
          <w:vertAlign w:val="subscript"/>
        </w:rPr>
        <w:t>10</w:t>
      </w:r>
      <w:r w:rsidR="00936894">
        <w:rPr>
          <w:bCs/>
          <w:sz w:val="22"/>
          <w:szCs w:val="22"/>
        </w:rPr>
        <w:t xml:space="preserve"> and</w:t>
      </w:r>
      <w:r w:rsidR="00240F90">
        <w:rPr>
          <w:bCs/>
          <w:sz w:val="22"/>
          <w:szCs w:val="22"/>
        </w:rPr>
        <w:t xml:space="preserve"> </w:t>
      </w:r>
      <w:r w:rsidR="00BE279B" w:rsidRPr="008556FD">
        <w:rPr>
          <w:bCs/>
          <w:sz w:val="22"/>
          <w:szCs w:val="22"/>
        </w:rPr>
        <w:t>PM</w:t>
      </w:r>
      <w:r w:rsidR="00BE279B" w:rsidRPr="008556FD">
        <w:rPr>
          <w:bCs/>
          <w:sz w:val="22"/>
          <w:szCs w:val="22"/>
          <w:vertAlign w:val="subscript"/>
        </w:rPr>
        <w:t>2.5</w:t>
      </w:r>
      <w:r w:rsidR="00240F90">
        <w:rPr>
          <w:bCs/>
          <w:sz w:val="22"/>
          <w:szCs w:val="22"/>
        </w:rPr>
        <w:t xml:space="preserve"> </w:t>
      </w:r>
      <w:r w:rsidR="008217A1">
        <w:rPr>
          <w:bCs/>
          <w:sz w:val="22"/>
          <w:szCs w:val="22"/>
        </w:rPr>
        <w:t>thereby requiring a Best Available Control Technology (BACT) determination for these pollutants</w:t>
      </w:r>
      <w:r w:rsidR="008556FD" w:rsidRPr="008556FD">
        <w:rPr>
          <w:bCs/>
          <w:sz w:val="22"/>
          <w:szCs w:val="22"/>
        </w:rPr>
        <w:t>.</w:t>
      </w:r>
      <w:r w:rsidR="008217A1">
        <w:rPr>
          <w:bCs/>
          <w:sz w:val="22"/>
          <w:szCs w:val="22"/>
        </w:rPr>
        <w:t xml:space="preserve"> </w:t>
      </w:r>
      <w:r w:rsidR="008556FD">
        <w:rPr>
          <w:bCs/>
          <w:sz w:val="22"/>
          <w:szCs w:val="22"/>
        </w:rPr>
        <w:t xml:space="preserve"> </w:t>
      </w:r>
      <w:r w:rsidR="008556FD" w:rsidRPr="008556FD">
        <w:rPr>
          <w:bCs/>
          <w:sz w:val="22"/>
          <w:szCs w:val="22"/>
        </w:rPr>
        <w:t xml:space="preserve">In addition, the project triggers PSD for greenhouse gases and </w:t>
      </w:r>
      <w:r w:rsidR="008525D6">
        <w:rPr>
          <w:bCs/>
          <w:sz w:val="22"/>
          <w:szCs w:val="22"/>
        </w:rPr>
        <w:t xml:space="preserve">the applicant </w:t>
      </w:r>
      <w:r w:rsidR="008556FD" w:rsidRPr="008556FD">
        <w:rPr>
          <w:bCs/>
          <w:sz w:val="22"/>
          <w:szCs w:val="22"/>
        </w:rPr>
        <w:t>has submitted a PSD GHG application to EPA Region</w:t>
      </w:r>
      <w:r w:rsidR="00532814" w:rsidRPr="00532814">
        <w:rPr>
          <w:bCs/>
          <w:sz w:val="22"/>
          <w:szCs w:val="22"/>
        </w:rPr>
        <w:t xml:space="preserve"> </w:t>
      </w:r>
      <w:r w:rsidR="008556FD" w:rsidRPr="008556FD">
        <w:rPr>
          <w:bCs/>
          <w:sz w:val="22"/>
          <w:szCs w:val="22"/>
        </w:rPr>
        <w:t>4 in Atlanta.</w:t>
      </w:r>
      <w:r w:rsidR="00F83BA2">
        <w:rPr>
          <w:bCs/>
          <w:sz w:val="22"/>
          <w:szCs w:val="22"/>
        </w:rPr>
        <w:t xml:space="preserve"> </w:t>
      </w:r>
    </w:p>
    <w:p w:rsidR="00B52667" w:rsidRPr="008556FD" w:rsidRDefault="008217A1" w:rsidP="00B52667">
      <w:pPr>
        <w:pStyle w:val="BodyTextIndent"/>
        <w:spacing w:after="120"/>
        <w:ind w:firstLine="0"/>
        <w:jc w:val="left"/>
        <w:rPr>
          <w:bCs/>
          <w:szCs w:val="22"/>
        </w:rPr>
      </w:pPr>
      <w:r>
        <w:rPr>
          <w:bCs/>
          <w:szCs w:val="22"/>
        </w:rPr>
        <w:t>T</w:t>
      </w:r>
      <w:r w:rsidR="00B52667" w:rsidRPr="009A5EC0">
        <w:rPr>
          <w:bCs/>
          <w:szCs w:val="22"/>
        </w:rPr>
        <w:t xml:space="preserve">he Department is required to determine the BACT and </w:t>
      </w:r>
      <w:r w:rsidR="00CD0E6F">
        <w:rPr>
          <w:bCs/>
          <w:szCs w:val="22"/>
        </w:rPr>
        <w:t>evaluate</w:t>
      </w:r>
      <w:r w:rsidR="00B52667" w:rsidRPr="009A5EC0">
        <w:rPr>
          <w:bCs/>
          <w:szCs w:val="22"/>
        </w:rPr>
        <w:t xml:space="preserve"> the applicant’s Air Quality Analysis regarding ambient impacts due to the project.  The Department’s preliminary BACT determinations for </w:t>
      </w:r>
      <w:r>
        <w:rPr>
          <w:bCs/>
          <w:szCs w:val="22"/>
        </w:rPr>
        <w:t>the</w:t>
      </w:r>
      <w:r w:rsidR="00B52667" w:rsidRPr="009A5EC0">
        <w:rPr>
          <w:bCs/>
          <w:szCs w:val="22"/>
        </w:rPr>
        <w:t xml:space="preserve"> pollutants</w:t>
      </w:r>
      <w:r>
        <w:rPr>
          <w:bCs/>
          <w:szCs w:val="22"/>
        </w:rPr>
        <w:t xml:space="preserve"> listed in the previous paragraph</w:t>
      </w:r>
      <w:r w:rsidR="00B52667" w:rsidRPr="009A5EC0">
        <w:rPr>
          <w:bCs/>
          <w:szCs w:val="22"/>
        </w:rPr>
        <w:t xml:space="preserve"> are based on:  </w:t>
      </w:r>
      <w:r w:rsidR="00240F90">
        <w:rPr>
          <w:bCs/>
          <w:szCs w:val="22"/>
        </w:rPr>
        <w:t>L</w:t>
      </w:r>
      <w:r w:rsidR="00240F90" w:rsidRPr="004F06A0">
        <w:rPr>
          <w:szCs w:val="22"/>
        </w:rPr>
        <w:t>ean premix Dry Low NO</w:t>
      </w:r>
      <w:r w:rsidR="00240F90" w:rsidRPr="00074DA8">
        <w:rPr>
          <w:szCs w:val="22"/>
          <w:vertAlign w:val="subscript"/>
        </w:rPr>
        <w:t>X</w:t>
      </w:r>
      <w:r w:rsidR="00240F90" w:rsidRPr="004F06A0">
        <w:rPr>
          <w:szCs w:val="22"/>
        </w:rPr>
        <w:t xml:space="preserve"> technology</w:t>
      </w:r>
      <w:r w:rsidR="00240F90">
        <w:rPr>
          <w:szCs w:val="22"/>
        </w:rPr>
        <w:t xml:space="preserve"> </w:t>
      </w:r>
      <w:r w:rsidR="008E009D">
        <w:rPr>
          <w:szCs w:val="22"/>
        </w:rPr>
        <w:t xml:space="preserve">while firing </w:t>
      </w:r>
      <w:r w:rsidR="00240F90">
        <w:rPr>
          <w:szCs w:val="22"/>
        </w:rPr>
        <w:t>natural gas and water injection</w:t>
      </w:r>
      <w:r w:rsidR="008E009D">
        <w:rPr>
          <w:szCs w:val="22"/>
        </w:rPr>
        <w:t xml:space="preserve"> while firing fuel oil</w:t>
      </w:r>
      <w:r w:rsidR="008556FD" w:rsidRPr="008556FD">
        <w:rPr>
          <w:bCs/>
          <w:szCs w:val="22"/>
        </w:rPr>
        <w:t xml:space="preserve"> to control NO</w:t>
      </w:r>
      <w:r w:rsidR="008556FD" w:rsidRPr="008556FD">
        <w:rPr>
          <w:bCs/>
          <w:szCs w:val="22"/>
          <w:vertAlign w:val="subscript"/>
        </w:rPr>
        <w:t>X</w:t>
      </w:r>
      <w:r w:rsidR="008556FD" w:rsidRPr="008556FD">
        <w:rPr>
          <w:bCs/>
          <w:szCs w:val="22"/>
        </w:rPr>
        <w:t xml:space="preserve"> emissions</w:t>
      </w:r>
      <w:r w:rsidR="008556FD">
        <w:rPr>
          <w:bCs/>
          <w:szCs w:val="22"/>
        </w:rPr>
        <w:t>; good combustion practices to control CO and VOC emissions;</w:t>
      </w:r>
      <w:r w:rsidR="00936894">
        <w:rPr>
          <w:bCs/>
          <w:szCs w:val="22"/>
        </w:rPr>
        <w:t xml:space="preserve"> </w:t>
      </w:r>
      <w:r w:rsidR="00A51F32">
        <w:rPr>
          <w:bCs/>
          <w:szCs w:val="22"/>
        </w:rPr>
        <w:t xml:space="preserve">and </w:t>
      </w:r>
      <w:r w:rsidR="00936894">
        <w:rPr>
          <w:bCs/>
          <w:szCs w:val="22"/>
        </w:rPr>
        <w:t xml:space="preserve">clean, </w:t>
      </w:r>
      <w:r w:rsidR="008556FD">
        <w:rPr>
          <w:bCs/>
          <w:szCs w:val="22"/>
        </w:rPr>
        <w:t>low sulfur fuels to control to control PM/PM</w:t>
      </w:r>
      <w:r w:rsidR="008556FD" w:rsidRPr="008556FD">
        <w:rPr>
          <w:bCs/>
          <w:szCs w:val="22"/>
          <w:vertAlign w:val="subscript"/>
        </w:rPr>
        <w:t>10</w:t>
      </w:r>
      <w:r w:rsidR="008556FD">
        <w:rPr>
          <w:bCs/>
          <w:szCs w:val="22"/>
        </w:rPr>
        <w:t>/PM</w:t>
      </w:r>
      <w:r w:rsidR="008556FD" w:rsidRPr="008556FD">
        <w:rPr>
          <w:bCs/>
          <w:szCs w:val="22"/>
          <w:vertAlign w:val="subscript"/>
        </w:rPr>
        <w:t>2.5</w:t>
      </w:r>
      <w:r w:rsidR="008556FD">
        <w:rPr>
          <w:bCs/>
          <w:szCs w:val="22"/>
        </w:rPr>
        <w:t xml:space="preserve"> emissions</w:t>
      </w:r>
      <w:r w:rsidR="00A51F32">
        <w:rPr>
          <w:bCs/>
          <w:szCs w:val="22"/>
        </w:rPr>
        <w:t>.  Low sulfur fuels</w:t>
      </w:r>
      <w:r w:rsidR="00936894">
        <w:rPr>
          <w:bCs/>
          <w:szCs w:val="22"/>
        </w:rPr>
        <w:t xml:space="preserve"> </w:t>
      </w:r>
      <w:r w:rsidR="00A51F32">
        <w:rPr>
          <w:bCs/>
          <w:szCs w:val="22"/>
        </w:rPr>
        <w:t>provide</w:t>
      </w:r>
      <w:r w:rsidR="00936894">
        <w:rPr>
          <w:bCs/>
          <w:szCs w:val="22"/>
        </w:rPr>
        <w:t xml:space="preserve"> the added benefit of controlling</w:t>
      </w:r>
      <w:r w:rsidR="00936894" w:rsidRPr="00936894">
        <w:rPr>
          <w:bCs/>
          <w:szCs w:val="22"/>
        </w:rPr>
        <w:t xml:space="preserve"> </w:t>
      </w:r>
      <w:r w:rsidR="00936894">
        <w:rPr>
          <w:bCs/>
          <w:szCs w:val="22"/>
        </w:rPr>
        <w:t>SO</w:t>
      </w:r>
      <w:r w:rsidR="00936894" w:rsidRPr="008556FD">
        <w:rPr>
          <w:bCs/>
          <w:szCs w:val="22"/>
          <w:vertAlign w:val="subscript"/>
        </w:rPr>
        <w:t>2</w:t>
      </w:r>
      <w:r w:rsidR="00936894">
        <w:rPr>
          <w:bCs/>
          <w:szCs w:val="22"/>
        </w:rPr>
        <w:t xml:space="preserve"> and </w:t>
      </w:r>
      <w:r w:rsidR="00A51F32">
        <w:rPr>
          <w:bCs/>
          <w:szCs w:val="22"/>
        </w:rPr>
        <w:t>sulfuric acid mist</w:t>
      </w:r>
      <w:r w:rsidR="00936894">
        <w:rPr>
          <w:bCs/>
          <w:szCs w:val="22"/>
        </w:rPr>
        <w:t xml:space="preserve"> emissions</w:t>
      </w:r>
      <w:r w:rsidR="008556FD">
        <w:rPr>
          <w:bCs/>
          <w:szCs w:val="22"/>
        </w:rPr>
        <w:t>.</w:t>
      </w:r>
    </w:p>
    <w:p w:rsidR="005F5675" w:rsidRPr="004E246C" w:rsidRDefault="005F5675" w:rsidP="005F5675">
      <w:pPr>
        <w:spacing w:after="120"/>
        <w:rPr>
          <w:sz w:val="22"/>
          <w:szCs w:val="22"/>
        </w:rPr>
      </w:pPr>
      <w:r w:rsidRPr="004E246C">
        <w:rPr>
          <w:sz w:val="22"/>
          <w:szCs w:val="22"/>
        </w:rPr>
        <w:t xml:space="preserve">The applicant performed ambient air quality analyses as required.  Based on the modeling results, the maximum predicted ambient air quality impacts for </w:t>
      </w:r>
      <w:r w:rsidRPr="004E246C">
        <w:rPr>
          <w:bCs/>
          <w:sz w:val="22"/>
          <w:szCs w:val="22"/>
        </w:rPr>
        <w:t>both PM</w:t>
      </w:r>
      <w:r w:rsidRPr="004E246C">
        <w:rPr>
          <w:bCs/>
          <w:sz w:val="22"/>
          <w:szCs w:val="22"/>
          <w:vertAlign w:val="subscript"/>
        </w:rPr>
        <w:t>10</w:t>
      </w:r>
      <w:r w:rsidRPr="004E246C">
        <w:rPr>
          <w:bCs/>
          <w:sz w:val="22"/>
          <w:szCs w:val="22"/>
        </w:rPr>
        <w:t xml:space="preserve"> and PM</w:t>
      </w:r>
      <w:r w:rsidRPr="004E246C">
        <w:rPr>
          <w:bCs/>
          <w:sz w:val="22"/>
          <w:szCs w:val="22"/>
          <w:vertAlign w:val="subscript"/>
        </w:rPr>
        <w:t>2.5</w:t>
      </w:r>
      <w:r w:rsidRPr="004E246C">
        <w:rPr>
          <w:bCs/>
          <w:sz w:val="22"/>
          <w:szCs w:val="22"/>
        </w:rPr>
        <w:t xml:space="preserve"> exceeded the Class I </w:t>
      </w:r>
      <w:r w:rsidRPr="004E246C">
        <w:rPr>
          <w:sz w:val="22"/>
          <w:szCs w:val="22"/>
        </w:rPr>
        <w:t xml:space="preserve">significant impact levels (SILs) applicable at the nearest PSD Class I area; the Everglades National Park.  Consequently, </w:t>
      </w:r>
      <w:r w:rsidRPr="004E246C">
        <w:rPr>
          <w:bCs/>
          <w:sz w:val="22"/>
          <w:szCs w:val="22"/>
        </w:rPr>
        <w:t>comprehensive multi-source modeling was necessary to show that concentrations of these</w:t>
      </w:r>
      <w:r w:rsidRPr="002774CE">
        <w:rPr>
          <w:bCs/>
          <w:sz w:val="22"/>
        </w:rPr>
        <w:t xml:space="preserve"> pollutants </w:t>
      </w:r>
      <w:r>
        <w:rPr>
          <w:bCs/>
          <w:sz w:val="22"/>
        </w:rPr>
        <w:t>did</w:t>
      </w:r>
      <w:r w:rsidRPr="002774CE">
        <w:rPr>
          <w:bCs/>
          <w:sz w:val="22"/>
        </w:rPr>
        <w:t xml:space="preserve"> not exceed </w:t>
      </w:r>
      <w:r w:rsidR="000517FA">
        <w:rPr>
          <w:bCs/>
          <w:sz w:val="22"/>
        </w:rPr>
        <w:t xml:space="preserve">the </w:t>
      </w:r>
      <w:r w:rsidRPr="002774CE">
        <w:rPr>
          <w:bCs/>
          <w:sz w:val="22"/>
        </w:rPr>
        <w:t xml:space="preserve">PSD </w:t>
      </w:r>
      <w:r w:rsidRPr="004E246C">
        <w:rPr>
          <w:bCs/>
          <w:sz w:val="22"/>
          <w:szCs w:val="22"/>
        </w:rPr>
        <w:lastRenderedPageBreak/>
        <w:t>Class I increments</w:t>
      </w:r>
      <w:r w:rsidRPr="004E246C">
        <w:rPr>
          <w:sz w:val="22"/>
          <w:szCs w:val="22"/>
        </w:rPr>
        <w:t xml:space="preserve">.  Modeling for </w:t>
      </w:r>
      <w:r w:rsidR="00123DB6" w:rsidRPr="004E246C">
        <w:rPr>
          <w:sz w:val="22"/>
          <w:szCs w:val="22"/>
        </w:rPr>
        <w:t xml:space="preserve">Class I </w:t>
      </w:r>
      <w:r w:rsidRPr="004E246C">
        <w:rPr>
          <w:sz w:val="22"/>
          <w:szCs w:val="22"/>
        </w:rPr>
        <w:t>increment consumption in terms of micrograms per cubic (μg/m</w:t>
      </w:r>
      <w:r w:rsidRPr="004E246C">
        <w:rPr>
          <w:sz w:val="22"/>
          <w:szCs w:val="22"/>
          <w:vertAlign w:val="superscript"/>
        </w:rPr>
        <w:t>3</w:t>
      </w:r>
      <w:r w:rsidRPr="004E246C">
        <w:rPr>
          <w:sz w:val="22"/>
          <w:szCs w:val="22"/>
        </w:rPr>
        <w:t>) meter percent (%) was conducted for these pollutants and for the relevant averaging periods as detailed below:</w:t>
      </w:r>
    </w:p>
    <w:tbl>
      <w:tblPr>
        <w:tblStyle w:val="PlainTable3"/>
        <w:tblW w:w="4130" w:type="pct"/>
        <w:tblInd w:w="630" w:type="dxa"/>
        <w:tblLook w:val="0000" w:firstRow="0" w:lastRow="0" w:firstColumn="0" w:lastColumn="0" w:noHBand="0" w:noVBand="0"/>
      </w:tblPr>
      <w:tblGrid>
        <w:gridCol w:w="1349"/>
        <w:gridCol w:w="1440"/>
        <w:gridCol w:w="2429"/>
        <w:gridCol w:w="1710"/>
        <w:gridCol w:w="1279"/>
      </w:tblGrid>
      <w:tr w:rsidR="005F5675" w:rsidRPr="004E246C" w:rsidTr="004E246C">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822"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Pollutant</w:t>
            </w:r>
          </w:p>
        </w:tc>
        <w:tc>
          <w:tcPr>
            <w:tcW w:w="877" w:type="pct"/>
            <w:shd w:val="clear" w:color="auto" w:fill="auto"/>
          </w:tcPr>
          <w:p w:rsidR="005F5675" w:rsidRPr="004E246C" w:rsidRDefault="005F5675" w:rsidP="003244C2">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b/>
                <w:sz w:val="22"/>
                <w:szCs w:val="22"/>
              </w:rPr>
            </w:pPr>
            <w:r w:rsidRPr="004E246C">
              <w:rPr>
                <w:b/>
                <w:sz w:val="22"/>
                <w:szCs w:val="22"/>
              </w:rPr>
              <w:t>Averaging</w:t>
            </w:r>
            <w:r w:rsidRPr="004E246C">
              <w:rPr>
                <w:b/>
                <w:sz w:val="22"/>
                <w:szCs w:val="22"/>
              </w:rPr>
              <w:br/>
              <w:t>Time</w:t>
            </w:r>
          </w:p>
        </w:tc>
        <w:tc>
          <w:tcPr>
            <w:cnfStyle w:val="000010000000" w:firstRow="0" w:lastRow="0" w:firstColumn="0" w:lastColumn="0" w:oddVBand="1" w:evenVBand="0" w:oddHBand="0" w:evenHBand="0" w:firstRowFirstColumn="0" w:firstRowLastColumn="0" w:lastRowFirstColumn="0" w:lastRowLastColumn="0"/>
            <w:tcW w:w="1480" w:type="pct"/>
            <w:shd w:val="clear" w:color="auto" w:fill="auto"/>
            <w:vAlign w:val="center"/>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Allowable Increment</w:t>
            </w:r>
            <w:r w:rsidRPr="004E246C">
              <w:rPr>
                <w:b/>
                <w:sz w:val="22"/>
                <w:szCs w:val="22"/>
              </w:rPr>
              <w:br/>
              <w:t>(μg/m</w:t>
            </w:r>
            <w:r w:rsidRPr="004E246C">
              <w:rPr>
                <w:b/>
                <w:sz w:val="22"/>
                <w:szCs w:val="22"/>
                <w:vertAlign w:val="superscript"/>
              </w:rPr>
              <w:t>3</w:t>
            </w:r>
            <w:r w:rsidRPr="004E246C">
              <w:rPr>
                <w:b/>
                <w:sz w:val="22"/>
                <w:szCs w:val="22"/>
              </w:rPr>
              <w:t>)</w:t>
            </w:r>
          </w:p>
        </w:tc>
        <w:tc>
          <w:tcPr>
            <w:tcW w:w="1042" w:type="pct"/>
            <w:shd w:val="clear" w:color="auto" w:fill="auto"/>
          </w:tcPr>
          <w:p w:rsidR="005F5675" w:rsidRPr="004E246C" w:rsidRDefault="005F5675" w:rsidP="003244C2">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b/>
                <w:sz w:val="22"/>
                <w:szCs w:val="22"/>
              </w:rPr>
            </w:pPr>
            <w:r w:rsidRPr="004E246C">
              <w:rPr>
                <w:b/>
                <w:sz w:val="22"/>
                <w:szCs w:val="22"/>
              </w:rPr>
              <w:t xml:space="preserve">Increment </w:t>
            </w:r>
            <w:r w:rsidRPr="004E246C">
              <w:rPr>
                <w:b/>
                <w:sz w:val="22"/>
                <w:szCs w:val="22"/>
              </w:rPr>
              <w:br/>
              <w:t>(μg/m</w:t>
            </w:r>
            <w:r w:rsidRPr="004E246C">
              <w:rPr>
                <w:b/>
                <w:sz w:val="22"/>
                <w:szCs w:val="22"/>
                <w:vertAlign w:val="superscript"/>
              </w:rPr>
              <w:t>3</w:t>
            </w:r>
            <w:r w:rsidRPr="004E246C">
              <w:rPr>
                <w:b/>
                <w:sz w:val="22"/>
                <w:szCs w:val="22"/>
              </w:rPr>
              <w:t>)</w:t>
            </w:r>
          </w:p>
        </w:tc>
        <w:tc>
          <w:tcPr>
            <w:cnfStyle w:val="000010000000" w:firstRow="0" w:lastRow="0" w:firstColumn="0" w:lastColumn="0" w:oddVBand="1" w:evenVBand="0" w:oddHBand="0" w:evenHBand="0" w:firstRowFirstColumn="0" w:firstRowLastColumn="0" w:lastRowFirstColumn="0" w:lastRowLastColumn="0"/>
            <w:tcW w:w="779"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Consumed</w:t>
            </w:r>
            <w:r w:rsidRPr="004E246C">
              <w:rPr>
                <w:b/>
                <w:sz w:val="22"/>
                <w:szCs w:val="22"/>
              </w:rPr>
              <w:br/>
              <w:t>Percent</w:t>
            </w:r>
          </w:p>
        </w:tc>
      </w:tr>
      <w:tr w:rsidR="005F5675" w:rsidRPr="004E246C" w:rsidTr="004E246C">
        <w:trPr>
          <w:trHeight w:val="219"/>
        </w:trPr>
        <w:tc>
          <w:tcPr>
            <w:cnfStyle w:val="000010000000" w:firstRow="0" w:lastRow="0" w:firstColumn="0" w:lastColumn="0" w:oddVBand="1" w:evenVBand="0" w:oddHBand="0" w:evenHBand="0" w:firstRowFirstColumn="0" w:firstRowLastColumn="0" w:lastRowFirstColumn="0" w:lastRowLastColumn="0"/>
            <w:tcW w:w="822"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PM</w:t>
            </w:r>
            <w:r w:rsidRPr="004E246C">
              <w:rPr>
                <w:b/>
                <w:sz w:val="22"/>
                <w:szCs w:val="22"/>
                <w:vertAlign w:val="subscript"/>
              </w:rPr>
              <w:t>10</w:t>
            </w:r>
          </w:p>
        </w:tc>
        <w:tc>
          <w:tcPr>
            <w:tcW w:w="877" w:type="pct"/>
            <w:shd w:val="clear" w:color="auto" w:fill="auto"/>
          </w:tcPr>
          <w:p w:rsidR="005F5675" w:rsidRPr="004E246C" w:rsidRDefault="005F5675" w:rsidP="003244C2">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sz w:val="22"/>
                <w:szCs w:val="22"/>
              </w:rPr>
            </w:pPr>
            <w:r w:rsidRPr="004E246C">
              <w:rPr>
                <w:sz w:val="22"/>
                <w:szCs w:val="22"/>
              </w:rPr>
              <w:t>24-hour</w:t>
            </w:r>
          </w:p>
        </w:tc>
        <w:tc>
          <w:tcPr>
            <w:cnfStyle w:val="000010000000" w:firstRow="0" w:lastRow="0" w:firstColumn="0" w:lastColumn="0" w:oddVBand="1" w:evenVBand="0" w:oddHBand="0" w:evenHBand="0" w:firstRowFirstColumn="0" w:firstRowLastColumn="0" w:lastRowFirstColumn="0" w:lastRowLastColumn="0"/>
            <w:tcW w:w="1480" w:type="pct"/>
            <w:shd w:val="clear" w:color="auto" w:fill="auto"/>
            <w:vAlign w:val="center"/>
          </w:tcPr>
          <w:p w:rsidR="005F5675" w:rsidRPr="004E246C" w:rsidRDefault="005F5675" w:rsidP="003244C2">
            <w:pPr>
              <w:autoSpaceDE w:val="0"/>
              <w:autoSpaceDN w:val="0"/>
              <w:adjustRightInd w:val="0"/>
              <w:spacing w:before="40" w:after="40"/>
              <w:jc w:val="center"/>
              <w:rPr>
                <w:sz w:val="22"/>
                <w:szCs w:val="22"/>
              </w:rPr>
            </w:pPr>
            <w:r w:rsidRPr="004E246C">
              <w:rPr>
                <w:sz w:val="22"/>
                <w:szCs w:val="22"/>
              </w:rPr>
              <w:t>4.0</w:t>
            </w:r>
          </w:p>
        </w:tc>
        <w:tc>
          <w:tcPr>
            <w:tcW w:w="1042" w:type="pct"/>
            <w:shd w:val="clear" w:color="auto" w:fill="auto"/>
          </w:tcPr>
          <w:p w:rsidR="005F5675" w:rsidRPr="004E246C" w:rsidRDefault="005F5675" w:rsidP="003244C2">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sz w:val="22"/>
                <w:szCs w:val="22"/>
              </w:rPr>
            </w:pPr>
            <w:r w:rsidRPr="004E246C">
              <w:rPr>
                <w:sz w:val="22"/>
                <w:szCs w:val="22"/>
              </w:rPr>
              <w:t>1.29</w:t>
            </w:r>
          </w:p>
        </w:tc>
        <w:tc>
          <w:tcPr>
            <w:cnfStyle w:val="000010000000" w:firstRow="0" w:lastRow="0" w:firstColumn="0" w:lastColumn="0" w:oddVBand="1" w:evenVBand="0" w:oddHBand="0" w:evenHBand="0" w:firstRowFirstColumn="0" w:firstRowLastColumn="0" w:lastRowFirstColumn="0" w:lastRowLastColumn="0"/>
            <w:tcW w:w="779" w:type="pct"/>
            <w:shd w:val="clear" w:color="auto" w:fill="auto"/>
          </w:tcPr>
          <w:p w:rsidR="005F5675" w:rsidRPr="004E246C" w:rsidRDefault="005F5675" w:rsidP="003244C2">
            <w:pPr>
              <w:autoSpaceDE w:val="0"/>
              <w:autoSpaceDN w:val="0"/>
              <w:adjustRightInd w:val="0"/>
              <w:spacing w:before="40" w:after="40"/>
              <w:jc w:val="center"/>
              <w:rPr>
                <w:sz w:val="22"/>
                <w:szCs w:val="22"/>
              </w:rPr>
            </w:pPr>
            <w:r w:rsidRPr="004E246C">
              <w:rPr>
                <w:sz w:val="22"/>
                <w:szCs w:val="22"/>
              </w:rPr>
              <w:t>32.3</w:t>
            </w:r>
          </w:p>
        </w:tc>
      </w:tr>
      <w:tr w:rsidR="005F5675" w:rsidRPr="004E246C" w:rsidTr="004E246C">
        <w:trPr>
          <w:cnfStyle w:val="000000100000" w:firstRow="0" w:lastRow="0" w:firstColumn="0" w:lastColumn="0" w:oddVBand="0" w:evenVBand="0" w:oddHBand="1" w:evenHBand="0" w:firstRowFirstColumn="0" w:firstRowLastColumn="0" w:lastRowFirstColumn="0" w:lastRowLastColumn="0"/>
          <w:trHeight w:val="144"/>
        </w:trPr>
        <w:tc>
          <w:tcPr>
            <w:cnfStyle w:val="000010000000" w:firstRow="0" w:lastRow="0" w:firstColumn="0" w:lastColumn="0" w:oddVBand="1" w:evenVBand="0" w:oddHBand="0" w:evenHBand="0" w:firstRowFirstColumn="0" w:firstRowLastColumn="0" w:lastRowFirstColumn="0" w:lastRowLastColumn="0"/>
            <w:tcW w:w="822"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PM</w:t>
            </w:r>
            <w:r w:rsidRPr="004E246C">
              <w:rPr>
                <w:b/>
                <w:sz w:val="22"/>
                <w:szCs w:val="22"/>
                <w:vertAlign w:val="subscript"/>
              </w:rPr>
              <w:t>2.5</w:t>
            </w:r>
          </w:p>
        </w:tc>
        <w:tc>
          <w:tcPr>
            <w:tcW w:w="877" w:type="pct"/>
            <w:shd w:val="clear" w:color="auto" w:fill="auto"/>
          </w:tcPr>
          <w:p w:rsidR="005F5675" w:rsidRPr="004E246C" w:rsidRDefault="005F5675" w:rsidP="003244C2">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sz w:val="22"/>
                <w:szCs w:val="22"/>
              </w:rPr>
            </w:pPr>
            <w:r w:rsidRPr="004E246C">
              <w:rPr>
                <w:sz w:val="22"/>
                <w:szCs w:val="22"/>
              </w:rPr>
              <w:t>24-hour</w:t>
            </w:r>
          </w:p>
        </w:tc>
        <w:tc>
          <w:tcPr>
            <w:cnfStyle w:val="000010000000" w:firstRow="0" w:lastRow="0" w:firstColumn="0" w:lastColumn="0" w:oddVBand="1" w:evenVBand="0" w:oddHBand="0" w:evenHBand="0" w:firstRowFirstColumn="0" w:firstRowLastColumn="0" w:lastRowFirstColumn="0" w:lastRowLastColumn="0"/>
            <w:tcW w:w="1480" w:type="pct"/>
            <w:shd w:val="clear" w:color="auto" w:fill="auto"/>
            <w:vAlign w:val="center"/>
          </w:tcPr>
          <w:p w:rsidR="005F5675" w:rsidRPr="004E246C" w:rsidRDefault="005F5675" w:rsidP="003244C2">
            <w:pPr>
              <w:autoSpaceDE w:val="0"/>
              <w:autoSpaceDN w:val="0"/>
              <w:adjustRightInd w:val="0"/>
              <w:spacing w:before="40" w:after="40"/>
              <w:jc w:val="center"/>
              <w:rPr>
                <w:sz w:val="22"/>
                <w:szCs w:val="22"/>
              </w:rPr>
            </w:pPr>
            <w:r w:rsidRPr="004E246C">
              <w:rPr>
                <w:sz w:val="22"/>
                <w:szCs w:val="22"/>
              </w:rPr>
              <w:t>2.0</w:t>
            </w:r>
          </w:p>
        </w:tc>
        <w:tc>
          <w:tcPr>
            <w:tcW w:w="1042" w:type="pct"/>
            <w:shd w:val="clear" w:color="auto" w:fill="auto"/>
          </w:tcPr>
          <w:p w:rsidR="005F5675" w:rsidRPr="004E246C" w:rsidRDefault="005F5675" w:rsidP="003244C2">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sz w:val="22"/>
                <w:szCs w:val="22"/>
              </w:rPr>
            </w:pPr>
            <w:r w:rsidRPr="004E246C">
              <w:rPr>
                <w:sz w:val="22"/>
                <w:szCs w:val="22"/>
              </w:rPr>
              <w:t>0.16</w:t>
            </w:r>
          </w:p>
        </w:tc>
        <w:tc>
          <w:tcPr>
            <w:cnfStyle w:val="000010000000" w:firstRow="0" w:lastRow="0" w:firstColumn="0" w:lastColumn="0" w:oddVBand="1" w:evenVBand="0" w:oddHBand="0" w:evenHBand="0" w:firstRowFirstColumn="0" w:firstRowLastColumn="0" w:lastRowFirstColumn="0" w:lastRowLastColumn="0"/>
            <w:tcW w:w="779" w:type="pct"/>
            <w:shd w:val="clear" w:color="auto" w:fill="auto"/>
          </w:tcPr>
          <w:p w:rsidR="005F5675" w:rsidRPr="004E246C" w:rsidRDefault="005F5675" w:rsidP="003244C2">
            <w:pPr>
              <w:autoSpaceDE w:val="0"/>
              <w:autoSpaceDN w:val="0"/>
              <w:adjustRightInd w:val="0"/>
              <w:spacing w:before="40" w:after="40"/>
              <w:jc w:val="center"/>
              <w:rPr>
                <w:sz w:val="22"/>
                <w:szCs w:val="22"/>
              </w:rPr>
            </w:pPr>
            <w:r w:rsidRPr="004E246C">
              <w:rPr>
                <w:sz w:val="22"/>
                <w:szCs w:val="22"/>
              </w:rPr>
              <w:t>8.0</w:t>
            </w:r>
          </w:p>
        </w:tc>
      </w:tr>
    </w:tbl>
    <w:p w:rsidR="005F5675" w:rsidRPr="004E246C" w:rsidRDefault="005F5675" w:rsidP="005F5675">
      <w:pPr>
        <w:spacing w:before="120" w:after="120"/>
        <w:rPr>
          <w:sz w:val="22"/>
          <w:szCs w:val="22"/>
        </w:rPr>
      </w:pPr>
      <w:r w:rsidRPr="004E246C">
        <w:rPr>
          <w:sz w:val="22"/>
          <w:szCs w:val="22"/>
        </w:rPr>
        <w:t>The maximum predicted ambient air quality impacts are greater than the respective SILs applicable to the PSD Class II areas in Broward County nearest the project for the following pollutants:  PM</w:t>
      </w:r>
      <w:r w:rsidRPr="004E246C">
        <w:rPr>
          <w:sz w:val="22"/>
          <w:szCs w:val="22"/>
          <w:vertAlign w:val="subscript"/>
        </w:rPr>
        <w:t>2.5</w:t>
      </w:r>
      <w:r w:rsidRPr="004E246C">
        <w:rPr>
          <w:sz w:val="22"/>
          <w:szCs w:val="22"/>
        </w:rPr>
        <w:t xml:space="preserve"> and </w:t>
      </w:r>
      <w:r w:rsidR="00123DB6" w:rsidRPr="004E246C">
        <w:rPr>
          <w:sz w:val="22"/>
          <w:szCs w:val="22"/>
        </w:rPr>
        <w:t>nitrogen dioxide (</w:t>
      </w:r>
      <w:r w:rsidRPr="004E246C">
        <w:rPr>
          <w:sz w:val="22"/>
          <w:szCs w:val="22"/>
        </w:rPr>
        <w:t>NO</w:t>
      </w:r>
      <w:r w:rsidRPr="004E246C">
        <w:rPr>
          <w:sz w:val="22"/>
          <w:szCs w:val="22"/>
          <w:vertAlign w:val="subscript"/>
        </w:rPr>
        <w:t>2</w:t>
      </w:r>
      <w:r w:rsidR="00123DB6" w:rsidRPr="004E246C">
        <w:rPr>
          <w:sz w:val="22"/>
          <w:szCs w:val="22"/>
        </w:rPr>
        <w:t>)</w:t>
      </w:r>
      <w:r w:rsidRPr="004E246C">
        <w:rPr>
          <w:sz w:val="22"/>
          <w:szCs w:val="22"/>
        </w:rPr>
        <w:t xml:space="preserve">.  </w:t>
      </w:r>
      <w:r w:rsidR="000517FA" w:rsidRPr="004E246C">
        <w:rPr>
          <w:sz w:val="22"/>
          <w:szCs w:val="22"/>
        </w:rPr>
        <w:t>There is no established PSD increment for the 1-hour NO</w:t>
      </w:r>
      <w:r w:rsidR="000517FA" w:rsidRPr="004E246C">
        <w:rPr>
          <w:sz w:val="22"/>
          <w:szCs w:val="22"/>
          <w:vertAlign w:val="subscript"/>
        </w:rPr>
        <w:t>2</w:t>
      </w:r>
      <w:r w:rsidR="000517FA" w:rsidRPr="004E246C">
        <w:rPr>
          <w:sz w:val="22"/>
          <w:szCs w:val="22"/>
        </w:rPr>
        <w:t xml:space="preserve"> standard but an increment analysis was required for the 24-hour PM</w:t>
      </w:r>
      <w:r w:rsidR="000517FA" w:rsidRPr="004E246C">
        <w:rPr>
          <w:sz w:val="22"/>
          <w:szCs w:val="22"/>
          <w:vertAlign w:val="subscript"/>
        </w:rPr>
        <w:t>2.5</w:t>
      </w:r>
      <w:r w:rsidR="000517FA" w:rsidRPr="004E246C">
        <w:rPr>
          <w:sz w:val="22"/>
          <w:szCs w:val="22"/>
        </w:rPr>
        <w:t xml:space="preserve"> standard.  The combined impacts of all increment-consuming sources in the area of the new source cannot exceed the PSD increment.  M</w:t>
      </w:r>
      <w:r w:rsidRPr="004E246C">
        <w:rPr>
          <w:sz w:val="22"/>
          <w:szCs w:val="22"/>
        </w:rPr>
        <w:t xml:space="preserve">odeling for increment consumption for </w:t>
      </w:r>
      <w:r w:rsidR="000517FA" w:rsidRPr="004E246C">
        <w:rPr>
          <w:sz w:val="22"/>
          <w:szCs w:val="22"/>
        </w:rPr>
        <w:t>this</w:t>
      </w:r>
      <w:r w:rsidRPr="004E246C">
        <w:rPr>
          <w:sz w:val="22"/>
          <w:szCs w:val="22"/>
        </w:rPr>
        <w:t xml:space="preserve"> pollutant and for the </w:t>
      </w:r>
      <w:r w:rsidR="000517FA" w:rsidRPr="004E246C">
        <w:rPr>
          <w:sz w:val="22"/>
          <w:szCs w:val="22"/>
        </w:rPr>
        <w:t>specified</w:t>
      </w:r>
      <w:r w:rsidRPr="004E246C">
        <w:rPr>
          <w:sz w:val="22"/>
          <w:szCs w:val="22"/>
        </w:rPr>
        <w:t xml:space="preserve"> averaging period</w:t>
      </w:r>
      <w:r w:rsidR="000517FA" w:rsidRPr="004E246C">
        <w:rPr>
          <w:sz w:val="22"/>
          <w:szCs w:val="22"/>
        </w:rPr>
        <w:t xml:space="preserve"> is</w:t>
      </w:r>
      <w:r w:rsidRPr="004E246C">
        <w:rPr>
          <w:sz w:val="22"/>
          <w:szCs w:val="22"/>
        </w:rPr>
        <w:t xml:space="preserve"> detailed below:</w:t>
      </w:r>
    </w:p>
    <w:tbl>
      <w:tblPr>
        <w:tblStyle w:val="PlainTable3"/>
        <w:tblW w:w="4130" w:type="pct"/>
        <w:tblInd w:w="630" w:type="dxa"/>
        <w:tblLook w:val="0000" w:firstRow="0" w:lastRow="0" w:firstColumn="0" w:lastColumn="0" w:noHBand="0" w:noVBand="0"/>
      </w:tblPr>
      <w:tblGrid>
        <w:gridCol w:w="1349"/>
        <w:gridCol w:w="1440"/>
        <w:gridCol w:w="2429"/>
        <w:gridCol w:w="1710"/>
        <w:gridCol w:w="1279"/>
      </w:tblGrid>
      <w:tr w:rsidR="005F5675" w:rsidRPr="004E246C" w:rsidTr="004E246C">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822"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Pollutant</w:t>
            </w:r>
          </w:p>
        </w:tc>
        <w:tc>
          <w:tcPr>
            <w:tcW w:w="877" w:type="pct"/>
            <w:shd w:val="clear" w:color="auto" w:fill="auto"/>
          </w:tcPr>
          <w:p w:rsidR="005F5675" w:rsidRPr="004E246C" w:rsidRDefault="005F5675" w:rsidP="003244C2">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b/>
                <w:sz w:val="22"/>
                <w:szCs w:val="22"/>
              </w:rPr>
            </w:pPr>
            <w:r w:rsidRPr="004E246C">
              <w:rPr>
                <w:b/>
                <w:sz w:val="22"/>
                <w:szCs w:val="22"/>
              </w:rPr>
              <w:t>Averaging</w:t>
            </w:r>
            <w:r w:rsidRPr="004E246C">
              <w:rPr>
                <w:b/>
                <w:sz w:val="22"/>
                <w:szCs w:val="22"/>
              </w:rPr>
              <w:br/>
              <w:t>Time</w:t>
            </w:r>
          </w:p>
        </w:tc>
        <w:tc>
          <w:tcPr>
            <w:cnfStyle w:val="000010000000" w:firstRow="0" w:lastRow="0" w:firstColumn="0" w:lastColumn="0" w:oddVBand="1" w:evenVBand="0" w:oddHBand="0" w:evenHBand="0" w:firstRowFirstColumn="0" w:firstRowLastColumn="0" w:lastRowFirstColumn="0" w:lastRowLastColumn="0"/>
            <w:tcW w:w="1480" w:type="pct"/>
            <w:shd w:val="clear" w:color="auto" w:fill="auto"/>
            <w:vAlign w:val="center"/>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Allowable Increment</w:t>
            </w:r>
            <w:r w:rsidRPr="004E246C">
              <w:rPr>
                <w:b/>
                <w:sz w:val="22"/>
                <w:szCs w:val="22"/>
              </w:rPr>
              <w:br/>
              <w:t>(μg/m</w:t>
            </w:r>
            <w:r w:rsidRPr="004E246C">
              <w:rPr>
                <w:b/>
                <w:sz w:val="22"/>
                <w:szCs w:val="22"/>
                <w:vertAlign w:val="superscript"/>
              </w:rPr>
              <w:t>3</w:t>
            </w:r>
            <w:r w:rsidRPr="004E246C">
              <w:rPr>
                <w:b/>
                <w:sz w:val="22"/>
                <w:szCs w:val="22"/>
              </w:rPr>
              <w:t>)</w:t>
            </w:r>
          </w:p>
        </w:tc>
        <w:tc>
          <w:tcPr>
            <w:tcW w:w="1042" w:type="pct"/>
            <w:shd w:val="clear" w:color="auto" w:fill="auto"/>
          </w:tcPr>
          <w:p w:rsidR="005F5675" w:rsidRPr="004E246C" w:rsidRDefault="005F5675" w:rsidP="003244C2">
            <w:pPr>
              <w:autoSpaceDE w:val="0"/>
              <w:autoSpaceDN w:val="0"/>
              <w:adjustRightInd w:val="0"/>
              <w:spacing w:before="40" w:after="40"/>
              <w:jc w:val="center"/>
              <w:cnfStyle w:val="000000100000" w:firstRow="0" w:lastRow="0" w:firstColumn="0" w:lastColumn="0" w:oddVBand="0" w:evenVBand="0" w:oddHBand="1" w:evenHBand="0" w:firstRowFirstColumn="0" w:firstRowLastColumn="0" w:lastRowFirstColumn="0" w:lastRowLastColumn="0"/>
              <w:rPr>
                <w:b/>
                <w:sz w:val="22"/>
                <w:szCs w:val="22"/>
              </w:rPr>
            </w:pPr>
            <w:r w:rsidRPr="004E246C">
              <w:rPr>
                <w:b/>
                <w:sz w:val="22"/>
                <w:szCs w:val="22"/>
              </w:rPr>
              <w:t xml:space="preserve">Increment </w:t>
            </w:r>
            <w:r w:rsidRPr="004E246C">
              <w:rPr>
                <w:b/>
                <w:sz w:val="22"/>
                <w:szCs w:val="22"/>
              </w:rPr>
              <w:br/>
              <w:t>(μg/m</w:t>
            </w:r>
            <w:r w:rsidRPr="004E246C">
              <w:rPr>
                <w:b/>
                <w:sz w:val="22"/>
                <w:szCs w:val="22"/>
                <w:vertAlign w:val="superscript"/>
              </w:rPr>
              <w:t>3</w:t>
            </w:r>
            <w:r w:rsidRPr="004E246C">
              <w:rPr>
                <w:b/>
                <w:sz w:val="22"/>
                <w:szCs w:val="22"/>
              </w:rPr>
              <w:t>)</w:t>
            </w:r>
          </w:p>
        </w:tc>
        <w:tc>
          <w:tcPr>
            <w:cnfStyle w:val="000010000000" w:firstRow="0" w:lastRow="0" w:firstColumn="0" w:lastColumn="0" w:oddVBand="1" w:evenVBand="0" w:oddHBand="0" w:evenHBand="0" w:firstRowFirstColumn="0" w:firstRowLastColumn="0" w:lastRowFirstColumn="0" w:lastRowLastColumn="0"/>
            <w:tcW w:w="779"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Consumed</w:t>
            </w:r>
            <w:r w:rsidRPr="004E246C">
              <w:rPr>
                <w:b/>
                <w:sz w:val="22"/>
                <w:szCs w:val="22"/>
              </w:rPr>
              <w:br/>
              <w:t>Percent</w:t>
            </w:r>
          </w:p>
        </w:tc>
      </w:tr>
      <w:tr w:rsidR="005F5675" w:rsidRPr="004E246C" w:rsidTr="004E246C">
        <w:trPr>
          <w:trHeight w:val="144"/>
        </w:trPr>
        <w:tc>
          <w:tcPr>
            <w:cnfStyle w:val="000010000000" w:firstRow="0" w:lastRow="0" w:firstColumn="0" w:lastColumn="0" w:oddVBand="1" w:evenVBand="0" w:oddHBand="0" w:evenHBand="0" w:firstRowFirstColumn="0" w:firstRowLastColumn="0" w:lastRowFirstColumn="0" w:lastRowLastColumn="0"/>
            <w:tcW w:w="822" w:type="pct"/>
            <w:shd w:val="clear" w:color="auto" w:fill="auto"/>
          </w:tcPr>
          <w:p w:rsidR="005F5675" w:rsidRPr="004E246C" w:rsidRDefault="005F5675" w:rsidP="003244C2">
            <w:pPr>
              <w:autoSpaceDE w:val="0"/>
              <w:autoSpaceDN w:val="0"/>
              <w:adjustRightInd w:val="0"/>
              <w:spacing w:before="40" w:after="40"/>
              <w:jc w:val="center"/>
              <w:rPr>
                <w:b/>
                <w:sz w:val="22"/>
                <w:szCs w:val="22"/>
              </w:rPr>
            </w:pPr>
            <w:r w:rsidRPr="004E246C">
              <w:rPr>
                <w:b/>
                <w:sz w:val="22"/>
                <w:szCs w:val="22"/>
              </w:rPr>
              <w:t>PM</w:t>
            </w:r>
            <w:r w:rsidRPr="004E246C">
              <w:rPr>
                <w:b/>
                <w:sz w:val="22"/>
                <w:szCs w:val="22"/>
                <w:vertAlign w:val="subscript"/>
              </w:rPr>
              <w:t>2.5</w:t>
            </w:r>
          </w:p>
        </w:tc>
        <w:tc>
          <w:tcPr>
            <w:tcW w:w="877" w:type="pct"/>
            <w:shd w:val="clear" w:color="auto" w:fill="auto"/>
          </w:tcPr>
          <w:p w:rsidR="005F5675" w:rsidRPr="004E246C" w:rsidRDefault="005F5675" w:rsidP="003244C2">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sz w:val="22"/>
                <w:szCs w:val="22"/>
              </w:rPr>
            </w:pPr>
            <w:r w:rsidRPr="004E246C">
              <w:rPr>
                <w:sz w:val="22"/>
                <w:szCs w:val="22"/>
              </w:rPr>
              <w:t>24-hour</w:t>
            </w:r>
          </w:p>
        </w:tc>
        <w:tc>
          <w:tcPr>
            <w:cnfStyle w:val="000010000000" w:firstRow="0" w:lastRow="0" w:firstColumn="0" w:lastColumn="0" w:oddVBand="1" w:evenVBand="0" w:oddHBand="0" w:evenHBand="0" w:firstRowFirstColumn="0" w:firstRowLastColumn="0" w:lastRowFirstColumn="0" w:lastRowLastColumn="0"/>
            <w:tcW w:w="1480" w:type="pct"/>
            <w:shd w:val="clear" w:color="auto" w:fill="auto"/>
            <w:vAlign w:val="center"/>
          </w:tcPr>
          <w:p w:rsidR="005F5675" w:rsidRPr="004E246C" w:rsidRDefault="000517FA" w:rsidP="003244C2">
            <w:pPr>
              <w:autoSpaceDE w:val="0"/>
              <w:autoSpaceDN w:val="0"/>
              <w:adjustRightInd w:val="0"/>
              <w:spacing w:before="40" w:after="40"/>
              <w:jc w:val="center"/>
              <w:rPr>
                <w:sz w:val="22"/>
                <w:szCs w:val="22"/>
              </w:rPr>
            </w:pPr>
            <w:r w:rsidRPr="004E246C">
              <w:rPr>
                <w:sz w:val="22"/>
                <w:szCs w:val="22"/>
              </w:rPr>
              <w:t>9</w:t>
            </w:r>
            <w:r w:rsidR="005F5675" w:rsidRPr="004E246C">
              <w:rPr>
                <w:sz w:val="22"/>
                <w:szCs w:val="22"/>
              </w:rPr>
              <w:t>.0</w:t>
            </w:r>
          </w:p>
        </w:tc>
        <w:tc>
          <w:tcPr>
            <w:tcW w:w="1042" w:type="pct"/>
            <w:shd w:val="clear" w:color="auto" w:fill="auto"/>
          </w:tcPr>
          <w:p w:rsidR="005F5675" w:rsidRPr="004E246C" w:rsidRDefault="000517FA" w:rsidP="003244C2">
            <w:pPr>
              <w:autoSpaceDE w:val="0"/>
              <w:autoSpaceDN w:val="0"/>
              <w:adjustRightInd w:val="0"/>
              <w:spacing w:before="40" w:after="40"/>
              <w:jc w:val="center"/>
              <w:cnfStyle w:val="000000000000" w:firstRow="0" w:lastRow="0" w:firstColumn="0" w:lastColumn="0" w:oddVBand="0" w:evenVBand="0" w:oddHBand="0" w:evenHBand="0" w:firstRowFirstColumn="0" w:firstRowLastColumn="0" w:lastRowFirstColumn="0" w:lastRowLastColumn="0"/>
              <w:rPr>
                <w:sz w:val="22"/>
                <w:szCs w:val="22"/>
              </w:rPr>
            </w:pPr>
            <w:r w:rsidRPr="004E246C">
              <w:rPr>
                <w:sz w:val="22"/>
                <w:szCs w:val="22"/>
              </w:rPr>
              <w:t>2.0</w:t>
            </w:r>
          </w:p>
        </w:tc>
        <w:tc>
          <w:tcPr>
            <w:cnfStyle w:val="000010000000" w:firstRow="0" w:lastRow="0" w:firstColumn="0" w:lastColumn="0" w:oddVBand="1" w:evenVBand="0" w:oddHBand="0" w:evenHBand="0" w:firstRowFirstColumn="0" w:firstRowLastColumn="0" w:lastRowFirstColumn="0" w:lastRowLastColumn="0"/>
            <w:tcW w:w="779" w:type="pct"/>
            <w:shd w:val="clear" w:color="auto" w:fill="auto"/>
          </w:tcPr>
          <w:p w:rsidR="005F5675" w:rsidRPr="004E246C" w:rsidRDefault="000517FA" w:rsidP="003244C2">
            <w:pPr>
              <w:autoSpaceDE w:val="0"/>
              <w:autoSpaceDN w:val="0"/>
              <w:adjustRightInd w:val="0"/>
              <w:spacing w:before="40" w:after="40"/>
              <w:jc w:val="center"/>
              <w:rPr>
                <w:sz w:val="22"/>
                <w:szCs w:val="22"/>
              </w:rPr>
            </w:pPr>
            <w:r w:rsidRPr="004E246C">
              <w:rPr>
                <w:sz w:val="22"/>
                <w:szCs w:val="22"/>
              </w:rPr>
              <w:t>22.2</w:t>
            </w:r>
          </w:p>
        </w:tc>
      </w:tr>
    </w:tbl>
    <w:p w:rsidR="008B6B72" w:rsidRPr="004E246C" w:rsidRDefault="008B6B72" w:rsidP="008B6B72">
      <w:pPr>
        <w:spacing w:before="240" w:after="120"/>
        <w:rPr>
          <w:sz w:val="22"/>
          <w:szCs w:val="22"/>
        </w:rPr>
      </w:pPr>
      <w:r w:rsidRPr="004E246C">
        <w:rPr>
          <w:sz w:val="22"/>
          <w:szCs w:val="22"/>
        </w:rPr>
        <w:t>Based on the analys</w:t>
      </w:r>
      <w:r w:rsidR="000517FA" w:rsidRPr="004E246C">
        <w:rPr>
          <w:sz w:val="22"/>
          <w:szCs w:val="22"/>
        </w:rPr>
        <w:t>e</w:t>
      </w:r>
      <w:r w:rsidRPr="004E246C">
        <w:rPr>
          <w:sz w:val="22"/>
          <w:szCs w:val="22"/>
        </w:rPr>
        <w:t>s, emissions from the project will not cause, or significantly contribute to, a violation of any ambient air quality standards or applicable increments.</w:t>
      </w:r>
    </w:p>
    <w:p w:rsidR="00B52667" w:rsidRPr="009A5EC0" w:rsidRDefault="00B52667" w:rsidP="00865CD9">
      <w:pPr>
        <w:spacing w:after="120"/>
        <w:rPr>
          <w:sz w:val="22"/>
          <w:szCs w:val="22"/>
        </w:rPr>
      </w:pPr>
      <w:r w:rsidRPr="009A5EC0">
        <w:rPr>
          <w:b/>
          <w:sz w:val="22"/>
          <w:szCs w:val="22"/>
        </w:rPr>
        <w:t>Permitting Authority</w:t>
      </w:r>
      <w:r w:rsidRPr="009A5EC0">
        <w:rPr>
          <w:sz w:val="22"/>
          <w:szCs w:val="22"/>
        </w:rPr>
        <w:t xml:space="preserve">:  Applications for air construction permits are subject to review in accordance with the provisions of Chapter 403, Florida Statutes (F.S.) and Chapters 62-4, 62-210 and 62-212, F.A.C.  The proposed project is not exempt from air permitting requirements and an air permit is required to perform the proposed work.  </w:t>
      </w:r>
      <w:r w:rsidR="00AD59F5" w:rsidRPr="00245C25">
        <w:rPr>
          <w:sz w:val="22"/>
          <w:szCs w:val="22"/>
        </w:rPr>
        <w:t xml:space="preserve">The </w:t>
      </w:r>
      <w:r w:rsidR="00AD59F5">
        <w:rPr>
          <w:sz w:val="22"/>
          <w:szCs w:val="22"/>
        </w:rPr>
        <w:t>Division of Air Resource Management’s (DARM) Office of Permitting and Compliance</w:t>
      </w:r>
      <w:r w:rsidR="00AD59F5" w:rsidRPr="00245C25">
        <w:rPr>
          <w:sz w:val="22"/>
          <w:szCs w:val="22"/>
        </w:rPr>
        <w:t xml:space="preserve"> is the Permitting Authority responsible for making a permit determination for this project.  The Permitting Authority’s physical address is:  </w:t>
      </w:r>
      <w:r w:rsidR="00727033">
        <w:rPr>
          <w:sz w:val="22"/>
          <w:szCs w:val="22"/>
        </w:rPr>
        <w:t>2600 Blair Stone Road</w:t>
      </w:r>
      <w:r w:rsidR="00AD59F5" w:rsidRPr="00245C25">
        <w:rPr>
          <w:sz w:val="22"/>
          <w:szCs w:val="22"/>
        </w:rPr>
        <w:t xml:space="preserve">, Tallahassee, Florida.  The Permitting Authority’s mailing address is:  </w:t>
      </w:r>
      <w:smartTag w:uri="urn:schemas-microsoft-com:office:smarttags" w:element="City">
        <w:r w:rsidR="00AD59F5" w:rsidRPr="00245C25">
          <w:rPr>
            <w:sz w:val="22"/>
            <w:szCs w:val="22"/>
          </w:rPr>
          <w:t>2600</w:t>
        </w:r>
      </w:smartTag>
      <w:r w:rsidR="00AD59F5" w:rsidRPr="00245C25">
        <w:rPr>
          <w:sz w:val="22"/>
          <w:szCs w:val="22"/>
        </w:rPr>
        <w:t xml:space="preserve"> Blair Stone Road, </w:t>
      </w:r>
      <w:smartTag w:uri="urn:schemas-microsoft-com:office:smarttags" w:element="State">
        <w:r w:rsidR="00AD59F5" w:rsidRPr="00245C25">
          <w:rPr>
            <w:sz w:val="22"/>
            <w:szCs w:val="22"/>
          </w:rPr>
          <w:t>MS</w:t>
        </w:r>
      </w:smartTag>
      <w:r w:rsidR="00AD59F5" w:rsidRPr="00245C25">
        <w:rPr>
          <w:sz w:val="22"/>
          <w:szCs w:val="22"/>
        </w:rPr>
        <w:t xml:space="preserve"> #5505, </w:t>
      </w:r>
      <w:smartTag w:uri="urn:schemas-microsoft-com:office:smarttags" w:element="place">
        <w:smartTag w:uri="urn:schemas-microsoft-com:office:smarttags" w:element="City">
          <w:r w:rsidR="00AD59F5" w:rsidRPr="00245C25">
            <w:rPr>
              <w:sz w:val="22"/>
              <w:szCs w:val="22"/>
            </w:rPr>
            <w:t>Tallahassee</w:t>
          </w:r>
        </w:smartTag>
        <w:r w:rsidR="00AD59F5" w:rsidRPr="00245C25">
          <w:rPr>
            <w:sz w:val="22"/>
            <w:szCs w:val="22"/>
          </w:rPr>
          <w:t xml:space="preserve">, </w:t>
        </w:r>
        <w:smartTag w:uri="urn:schemas-microsoft-com:office:smarttags" w:element="State">
          <w:r w:rsidR="00AD59F5" w:rsidRPr="00245C25">
            <w:rPr>
              <w:sz w:val="22"/>
              <w:szCs w:val="22"/>
            </w:rPr>
            <w:t>Florida</w:t>
          </w:r>
        </w:smartTag>
        <w:r w:rsidR="00AD59F5" w:rsidRPr="00245C25">
          <w:rPr>
            <w:sz w:val="22"/>
            <w:szCs w:val="22"/>
          </w:rPr>
          <w:t xml:space="preserve"> </w:t>
        </w:r>
        <w:smartTag w:uri="urn:schemas-microsoft-com:office:smarttags" w:element="PostalCode">
          <w:r w:rsidR="00AD59F5" w:rsidRPr="00245C25">
            <w:rPr>
              <w:sz w:val="22"/>
              <w:szCs w:val="22"/>
            </w:rPr>
            <w:t>32399-2400</w:t>
          </w:r>
        </w:smartTag>
      </w:smartTag>
      <w:r w:rsidR="00AD59F5" w:rsidRPr="00245C25">
        <w:rPr>
          <w:sz w:val="22"/>
          <w:szCs w:val="22"/>
        </w:rPr>
        <w:t xml:space="preserve">.  The Permitting Authority’s telephone number is </w:t>
      </w:r>
      <w:r w:rsidR="00AD59F5">
        <w:rPr>
          <w:sz w:val="22"/>
          <w:szCs w:val="22"/>
        </w:rPr>
        <w:t>850/717-9000</w:t>
      </w:r>
      <w:r w:rsidRPr="009A5EC0">
        <w:rPr>
          <w:sz w:val="22"/>
          <w:szCs w:val="22"/>
        </w:rPr>
        <w:t>.</w:t>
      </w:r>
    </w:p>
    <w:p w:rsidR="00B52667" w:rsidRDefault="00B52667" w:rsidP="00B52667">
      <w:pPr>
        <w:spacing w:after="120"/>
        <w:outlineLvl w:val="0"/>
        <w:rPr>
          <w:sz w:val="22"/>
          <w:szCs w:val="22"/>
        </w:rPr>
      </w:pPr>
      <w:r w:rsidRPr="009A5EC0">
        <w:rPr>
          <w:b/>
          <w:sz w:val="22"/>
          <w:szCs w:val="22"/>
        </w:rPr>
        <w:t>Project File</w:t>
      </w:r>
      <w:r w:rsidRPr="009A5EC0">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and phone number listed above.</w:t>
      </w:r>
      <w:r w:rsidR="00C337B7">
        <w:rPr>
          <w:sz w:val="22"/>
          <w:szCs w:val="22"/>
        </w:rPr>
        <w:t xml:space="preserve">  In addition, electronic copies of these documents are available on the following web site</w:t>
      </w:r>
      <w:r w:rsidR="00365D7C">
        <w:rPr>
          <w:sz w:val="22"/>
          <w:szCs w:val="22"/>
        </w:rPr>
        <w:t xml:space="preserve"> by entering draft permit number</w:t>
      </w:r>
      <w:r w:rsidR="00C337B7">
        <w:rPr>
          <w:sz w:val="22"/>
          <w:szCs w:val="22"/>
        </w:rPr>
        <w:t xml:space="preserve">:  </w:t>
      </w:r>
      <w:hyperlink r:id="rId6" w:history="1">
        <w:r w:rsidR="00E23495" w:rsidRPr="001407B1">
          <w:rPr>
            <w:rStyle w:val="Hyperlink"/>
            <w:sz w:val="22"/>
            <w:szCs w:val="22"/>
          </w:rPr>
          <w:t>http://www.dep.state.fl.us/air/emission/apds/default.asp</w:t>
        </w:r>
      </w:hyperlink>
      <w:r w:rsidR="00BE1615">
        <w:rPr>
          <w:sz w:val="22"/>
          <w:szCs w:val="22"/>
        </w:rPr>
        <w:t>.</w:t>
      </w:r>
    </w:p>
    <w:p w:rsidR="00B52667" w:rsidRPr="009A5EC0" w:rsidRDefault="00B52667" w:rsidP="00B52667">
      <w:pPr>
        <w:spacing w:after="120"/>
        <w:rPr>
          <w:sz w:val="22"/>
          <w:szCs w:val="22"/>
        </w:rPr>
      </w:pPr>
      <w:r w:rsidRPr="009A5EC0">
        <w:rPr>
          <w:b/>
          <w:sz w:val="22"/>
          <w:szCs w:val="22"/>
        </w:rPr>
        <w:t>Notice of Intent to Issue Air Permit</w:t>
      </w:r>
      <w:r w:rsidRPr="009A5EC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applicable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3403A4" w:rsidRPr="00695DBB" w:rsidRDefault="003403A4" w:rsidP="003403A4">
      <w:pPr>
        <w:widowControl w:val="0"/>
        <w:spacing w:after="120"/>
        <w:rPr>
          <w:sz w:val="22"/>
          <w:szCs w:val="22"/>
        </w:rPr>
      </w:pPr>
      <w:r w:rsidRPr="00695DBB">
        <w:rPr>
          <w:b/>
          <w:sz w:val="22"/>
          <w:szCs w:val="22"/>
        </w:rPr>
        <w:t>Comments</w:t>
      </w:r>
      <w:r w:rsidRPr="00695DBB">
        <w:rPr>
          <w:sz w:val="22"/>
          <w:szCs w:val="22"/>
        </w:rPr>
        <w:t xml:space="preserve">:  The Permitting Authority will accept written comments concerning the proposed Draft Permit and requests for a public meeting for a period of 30 days from the date of publication of the Public Notice.  Written comments must be </w:t>
      </w:r>
      <w:r w:rsidRPr="00695DBB">
        <w:rPr>
          <w:rStyle w:val="Emphasis"/>
          <w:bCs/>
          <w:i w:val="0"/>
          <w:sz w:val="22"/>
          <w:szCs w:val="22"/>
        </w:rPr>
        <w:t>received</w:t>
      </w:r>
      <w:r w:rsidRPr="00695DBB">
        <w:rPr>
          <w:sz w:val="22"/>
          <w:szCs w:val="22"/>
        </w:rPr>
        <w:t xml:space="preserve"> by the Permitting Authority by close of business (5:00 p.m.) on or before the end of this 30-day period.  In addition, if a public meeting is requested within the 30-day comment period and conducted by the Permitting Authority, any oral and written comments received during the public meeting will also be considered by the Permitting Authority.  If timely received comments result in a significant change to </w:t>
      </w:r>
      <w:r w:rsidRPr="00695DBB">
        <w:rPr>
          <w:sz w:val="22"/>
          <w:szCs w:val="22"/>
        </w:rPr>
        <w:lastRenderedPageBreak/>
        <w:t>the Draft Permit, the Permitting Authority shall revise the Draft Permit and require, if applicable, another Public Notice.  All comments filed will be made available for public inspection.</w:t>
      </w:r>
    </w:p>
    <w:p w:rsidR="00E87DFF" w:rsidRPr="00245C25" w:rsidRDefault="00B52667" w:rsidP="00E87DFF">
      <w:pPr>
        <w:widowControl w:val="0"/>
        <w:spacing w:after="120"/>
        <w:rPr>
          <w:sz w:val="22"/>
          <w:szCs w:val="22"/>
        </w:rPr>
      </w:pPr>
      <w:r w:rsidRPr="009A5EC0">
        <w:rPr>
          <w:b/>
          <w:sz w:val="22"/>
          <w:szCs w:val="22"/>
        </w:rPr>
        <w:t>Petitions</w:t>
      </w:r>
      <w:r w:rsidRPr="009A5EC0">
        <w:rPr>
          <w:sz w:val="22"/>
          <w:szCs w:val="22"/>
        </w:rPr>
        <w:t xml:space="preserve">:  </w:t>
      </w:r>
      <w:r w:rsidR="00E87DFF" w:rsidRPr="00245C25">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E87DFF" w:rsidRPr="005D3FB5">
        <w:rPr>
          <w:sz w:val="22"/>
          <w:szCs w:val="22"/>
        </w:rPr>
        <w:t>written notice of</w:t>
      </w:r>
      <w:r w:rsidR="00E87DFF" w:rsidRPr="00245C25">
        <w:rPr>
          <w:sz w:val="22"/>
          <w:szCs w:val="22"/>
        </w:rPr>
        <w:t xml:space="preserve"> Intent to Issue Air Permit.  Petitions filed by any persons other than those entitled to written notice under Section 120.60(3), F.S., must be filed within 14 days of publication of the attached Public Notice or within 14 days of receipt of this </w:t>
      </w:r>
      <w:r w:rsidR="00E87DFF" w:rsidRPr="005D3FB5">
        <w:rPr>
          <w:sz w:val="22"/>
          <w:szCs w:val="22"/>
        </w:rPr>
        <w:t xml:space="preserve">written notice </w:t>
      </w:r>
      <w:r w:rsidR="00E87DFF" w:rsidRPr="00245C25">
        <w:rPr>
          <w:sz w:val="22"/>
          <w:szCs w:val="22"/>
        </w:rPr>
        <w:t xml:space="preserve">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E87DFF" w:rsidRPr="005D3FB5">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7" w:history="1">
        <w:r w:rsidR="00E87DFF" w:rsidRPr="005D3FB5">
          <w:rPr>
            <w:rStyle w:val="Hyperlink"/>
            <w:sz w:val="22"/>
            <w:szCs w:val="22"/>
          </w:rPr>
          <w:t>Agency.Clerk@dep.state.fl.us</w:t>
        </w:r>
      </w:hyperlink>
      <w:r w:rsidR="00E87DFF" w:rsidRPr="005D3FB5">
        <w:rPr>
          <w:sz w:val="22"/>
          <w:szCs w:val="22"/>
        </w:rPr>
        <w:t>, before the deadline.  The failure of any person to file a pe</w:t>
      </w:r>
      <w:r w:rsidR="00E87DFF" w:rsidRPr="00245C25">
        <w:rPr>
          <w:sz w:val="22"/>
          <w:szCs w:val="22"/>
        </w:rPr>
        <w:t>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87DFF" w:rsidRPr="00245C25" w:rsidRDefault="00E87DFF" w:rsidP="00E87DFF">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87DFF" w:rsidRPr="00245C25" w:rsidRDefault="00E87DFF" w:rsidP="00E87DFF">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52667" w:rsidRPr="009A5EC0" w:rsidRDefault="00B52667" w:rsidP="00B52667">
      <w:pPr>
        <w:tabs>
          <w:tab w:val="left" w:pos="0"/>
        </w:tabs>
        <w:spacing w:after="120"/>
        <w:rPr>
          <w:sz w:val="22"/>
          <w:szCs w:val="22"/>
        </w:rPr>
      </w:pPr>
      <w:r w:rsidRPr="009A5EC0">
        <w:rPr>
          <w:b/>
          <w:sz w:val="22"/>
          <w:szCs w:val="22"/>
        </w:rPr>
        <w:t>Mediation</w:t>
      </w:r>
      <w:r w:rsidRPr="009A5EC0">
        <w:rPr>
          <w:sz w:val="22"/>
          <w:szCs w:val="22"/>
        </w:rPr>
        <w:t>:  Mediation is not available in this proceeding.</w:t>
      </w:r>
    </w:p>
    <w:sectPr w:rsidR="00B52667" w:rsidRPr="009A5EC0" w:rsidSect="00C337B7">
      <w:headerReference w:type="default" r:id="rId8"/>
      <w:footerReference w:type="default" r:id="rId9"/>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917" w:rsidRDefault="00731917">
      <w:r>
        <w:separator/>
      </w:r>
    </w:p>
  </w:endnote>
  <w:endnote w:type="continuationSeparator" w:id="0">
    <w:p w:rsidR="00731917" w:rsidRDefault="0073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17" w:rsidRPr="00E257C9" w:rsidRDefault="00731917" w:rsidP="0023647D">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917" w:rsidRDefault="00731917">
      <w:r>
        <w:separator/>
      </w:r>
    </w:p>
  </w:footnote>
  <w:footnote w:type="continuationSeparator" w:id="0">
    <w:p w:rsidR="00731917" w:rsidRDefault="00731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17" w:rsidRPr="007037DE" w:rsidRDefault="00731917" w:rsidP="0023647D">
    <w:pPr>
      <w:pStyle w:val="Header"/>
      <w:tabs>
        <w:tab w:val="clear" w:pos="4320"/>
        <w:tab w:val="left" w:pos="5940"/>
      </w:tabs>
      <w:spacing w:after="120"/>
      <w:jc w:val="center"/>
      <w:rPr>
        <w:b/>
        <w:caps/>
        <w:sz w:val="22"/>
        <w:szCs w:val="22"/>
      </w:rPr>
    </w:pPr>
    <w:r w:rsidRPr="007037DE">
      <w:rPr>
        <w:b/>
        <w:caps/>
        <w:sz w:val="22"/>
        <w:szCs w:val="22"/>
      </w:rPr>
      <w:t>Public Notice of Intent to Issue Air Permit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667"/>
    <w:rsid w:val="000517FA"/>
    <w:rsid w:val="00057BC8"/>
    <w:rsid w:val="00122F49"/>
    <w:rsid w:val="00123DB6"/>
    <w:rsid w:val="00132485"/>
    <w:rsid w:val="00143A80"/>
    <w:rsid w:val="00190983"/>
    <w:rsid w:val="001A376C"/>
    <w:rsid w:val="001B1DB9"/>
    <w:rsid w:val="001B26BC"/>
    <w:rsid w:val="001B6BC4"/>
    <w:rsid w:val="00214681"/>
    <w:rsid w:val="0023647D"/>
    <w:rsid w:val="00240F90"/>
    <w:rsid w:val="002704A2"/>
    <w:rsid w:val="002D7E46"/>
    <w:rsid w:val="002E7290"/>
    <w:rsid w:val="003403A4"/>
    <w:rsid w:val="0035192B"/>
    <w:rsid w:val="00365D7C"/>
    <w:rsid w:val="00372279"/>
    <w:rsid w:val="003965B5"/>
    <w:rsid w:val="003A7530"/>
    <w:rsid w:val="003D33F0"/>
    <w:rsid w:val="003E159E"/>
    <w:rsid w:val="00482F8F"/>
    <w:rsid w:val="004A33BF"/>
    <w:rsid w:val="004C07FB"/>
    <w:rsid w:val="004D49EF"/>
    <w:rsid w:val="004E0907"/>
    <w:rsid w:val="004E246C"/>
    <w:rsid w:val="004F335F"/>
    <w:rsid w:val="004F3452"/>
    <w:rsid w:val="00503D5B"/>
    <w:rsid w:val="00532814"/>
    <w:rsid w:val="005358A5"/>
    <w:rsid w:val="00543A8D"/>
    <w:rsid w:val="005634A7"/>
    <w:rsid w:val="00564670"/>
    <w:rsid w:val="0057516B"/>
    <w:rsid w:val="005F5675"/>
    <w:rsid w:val="00606623"/>
    <w:rsid w:val="006207C6"/>
    <w:rsid w:val="006262C0"/>
    <w:rsid w:val="00637822"/>
    <w:rsid w:val="00665AD4"/>
    <w:rsid w:val="0068180D"/>
    <w:rsid w:val="006820CC"/>
    <w:rsid w:val="00686231"/>
    <w:rsid w:val="006F6897"/>
    <w:rsid w:val="00727033"/>
    <w:rsid w:val="00731917"/>
    <w:rsid w:val="00742331"/>
    <w:rsid w:val="00753893"/>
    <w:rsid w:val="00754C0C"/>
    <w:rsid w:val="007819A0"/>
    <w:rsid w:val="007C59B5"/>
    <w:rsid w:val="007F2DF7"/>
    <w:rsid w:val="008217A1"/>
    <w:rsid w:val="008525D6"/>
    <w:rsid w:val="008556FD"/>
    <w:rsid w:val="00865CD9"/>
    <w:rsid w:val="008730CE"/>
    <w:rsid w:val="008952D3"/>
    <w:rsid w:val="00897C77"/>
    <w:rsid w:val="008B0867"/>
    <w:rsid w:val="008B6B72"/>
    <w:rsid w:val="008E009D"/>
    <w:rsid w:val="00936894"/>
    <w:rsid w:val="009524C0"/>
    <w:rsid w:val="009649B8"/>
    <w:rsid w:val="00975430"/>
    <w:rsid w:val="009A37BF"/>
    <w:rsid w:val="009A5EC0"/>
    <w:rsid w:val="009D6EC2"/>
    <w:rsid w:val="00A369FE"/>
    <w:rsid w:val="00A50E9C"/>
    <w:rsid w:val="00A51F32"/>
    <w:rsid w:val="00A62C92"/>
    <w:rsid w:val="00AC2998"/>
    <w:rsid w:val="00AC673D"/>
    <w:rsid w:val="00AD59F5"/>
    <w:rsid w:val="00B50021"/>
    <w:rsid w:val="00B52667"/>
    <w:rsid w:val="00B77568"/>
    <w:rsid w:val="00BC7CD6"/>
    <w:rsid w:val="00BD6380"/>
    <w:rsid w:val="00BE1615"/>
    <w:rsid w:val="00BE279B"/>
    <w:rsid w:val="00C0058D"/>
    <w:rsid w:val="00C165CC"/>
    <w:rsid w:val="00C26C22"/>
    <w:rsid w:val="00C30066"/>
    <w:rsid w:val="00C337B7"/>
    <w:rsid w:val="00C404DB"/>
    <w:rsid w:val="00CA4426"/>
    <w:rsid w:val="00CB7F3F"/>
    <w:rsid w:val="00CC2D97"/>
    <w:rsid w:val="00CD0E6F"/>
    <w:rsid w:val="00CD2F94"/>
    <w:rsid w:val="00D94BC1"/>
    <w:rsid w:val="00DA1552"/>
    <w:rsid w:val="00DE1550"/>
    <w:rsid w:val="00DE3F8A"/>
    <w:rsid w:val="00DE7F6A"/>
    <w:rsid w:val="00E0504D"/>
    <w:rsid w:val="00E122EC"/>
    <w:rsid w:val="00E230A9"/>
    <w:rsid w:val="00E23495"/>
    <w:rsid w:val="00E30770"/>
    <w:rsid w:val="00E33385"/>
    <w:rsid w:val="00E3624F"/>
    <w:rsid w:val="00E509BE"/>
    <w:rsid w:val="00E54309"/>
    <w:rsid w:val="00E87DFF"/>
    <w:rsid w:val="00EA0027"/>
    <w:rsid w:val="00EA448A"/>
    <w:rsid w:val="00F0544F"/>
    <w:rsid w:val="00F15093"/>
    <w:rsid w:val="00F74A8F"/>
    <w:rsid w:val="00F83BA2"/>
    <w:rsid w:val="00F90BBF"/>
    <w:rsid w:val="00F90CD3"/>
    <w:rsid w:val="00FC78B0"/>
    <w:rsid w:val="00FF7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5:docId w15:val="{D2F75403-C130-41B8-AC42-9AC9E51D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52667"/>
    <w:pPr>
      <w:ind w:firstLine="720"/>
      <w:jc w:val="both"/>
    </w:pPr>
    <w:rPr>
      <w:sz w:val="22"/>
    </w:rPr>
  </w:style>
  <w:style w:type="paragraph" w:styleId="Footer">
    <w:name w:val="footer"/>
    <w:basedOn w:val="Normal"/>
    <w:rsid w:val="00B52667"/>
    <w:pPr>
      <w:tabs>
        <w:tab w:val="center" w:pos="4320"/>
        <w:tab w:val="right" w:pos="8640"/>
      </w:tabs>
    </w:pPr>
  </w:style>
  <w:style w:type="paragraph" w:styleId="Header">
    <w:name w:val="header"/>
    <w:basedOn w:val="Normal"/>
    <w:rsid w:val="00B52667"/>
    <w:pPr>
      <w:tabs>
        <w:tab w:val="center" w:pos="4320"/>
        <w:tab w:val="right" w:pos="8640"/>
      </w:tabs>
    </w:pPr>
  </w:style>
  <w:style w:type="character" w:styleId="PageNumber">
    <w:name w:val="page number"/>
    <w:basedOn w:val="DefaultParagraphFont"/>
    <w:rsid w:val="00B52667"/>
  </w:style>
  <w:style w:type="character" w:styleId="Hyperlink">
    <w:name w:val="Hyperlink"/>
    <w:basedOn w:val="DefaultParagraphFont"/>
    <w:rsid w:val="00BE1615"/>
    <w:rPr>
      <w:color w:val="0000FF"/>
      <w:u w:val="single"/>
    </w:rPr>
  </w:style>
  <w:style w:type="character" w:styleId="FollowedHyperlink">
    <w:name w:val="FollowedHyperlink"/>
    <w:basedOn w:val="DefaultParagraphFont"/>
    <w:rsid w:val="00BE1615"/>
    <w:rPr>
      <w:color w:val="800080"/>
      <w:u w:val="single"/>
    </w:rPr>
  </w:style>
  <w:style w:type="character" w:styleId="Emphasis">
    <w:name w:val="Emphasis"/>
    <w:basedOn w:val="DefaultParagraphFont"/>
    <w:qFormat/>
    <w:rsid w:val="003403A4"/>
    <w:rPr>
      <w:i/>
      <w:iCs/>
    </w:rPr>
  </w:style>
  <w:style w:type="paragraph" w:styleId="BodyText3">
    <w:name w:val="Body Text 3"/>
    <w:basedOn w:val="Normal"/>
    <w:link w:val="BodyText3Char"/>
    <w:rsid w:val="00665AD4"/>
    <w:pPr>
      <w:spacing w:after="120"/>
    </w:pPr>
    <w:rPr>
      <w:sz w:val="16"/>
      <w:szCs w:val="16"/>
    </w:rPr>
  </w:style>
  <w:style w:type="character" w:customStyle="1" w:styleId="BodyText3Char">
    <w:name w:val="Body Text 3 Char"/>
    <w:basedOn w:val="DefaultParagraphFont"/>
    <w:link w:val="BodyText3"/>
    <w:rsid w:val="00665AD4"/>
    <w:rPr>
      <w:sz w:val="16"/>
      <w:szCs w:val="16"/>
    </w:rPr>
  </w:style>
  <w:style w:type="paragraph" w:styleId="BalloonText">
    <w:name w:val="Balloon Text"/>
    <w:basedOn w:val="Normal"/>
    <w:link w:val="BalloonTextChar"/>
    <w:rsid w:val="008525D6"/>
    <w:rPr>
      <w:rFonts w:ascii="Tahoma" w:hAnsi="Tahoma" w:cs="Tahoma"/>
      <w:sz w:val="16"/>
      <w:szCs w:val="16"/>
    </w:rPr>
  </w:style>
  <w:style w:type="character" w:customStyle="1" w:styleId="BalloonTextChar">
    <w:name w:val="Balloon Text Char"/>
    <w:basedOn w:val="DefaultParagraphFont"/>
    <w:link w:val="BalloonText"/>
    <w:rsid w:val="008525D6"/>
    <w:rPr>
      <w:rFonts w:ascii="Tahoma" w:hAnsi="Tahoma" w:cs="Tahoma"/>
      <w:sz w:val="16"/>
      <w:szCs w:val="16"/>
    </w:rPr>
  </w:style>
  <w:style w:type="character" w:styleId="CommentReference">
    <w:name w:val="annotation reference"/>
    <w:basedOn w:val="DefaultParagraphFont"/>
    <w:rsid w:val="008525D6"/>
    <w:rPr>
      <w:sz w:val="16"/>
      <w:szCs w:val="16"/>
    </w:rPr>
  </w:style>
  <w:style w:type="paragraph" w:styleId="CommentText">
    <w:name w:val="annotation text"/>
    <w:basedOn w:val="Normal"/>
    <w:link w:val="CommentTextChar"/>
    <w:rsid w:val="008525D6"/>
  </w:style>
  <w:style w:type="character" w:customStyle="1" w:styleId="CommentTextChar">
    <w:name w:val="Comment Text Char"/>
    <w:basedOn w:val="DefaultParagraphFont"/>
    <w:link w:val="CommentText"/>
    <w:rsid w:val="008525D6"/>
  </w:style>
  <w:style w:type="paragraph" w:styleId="CommentSubject">
    <w:name w:val="annotation subject"/>
    <w:basedOn w:val="CommentText"/>
    <w:next w:val="CommentText"/>
    <w:link w:val="CommentSubjectChar"/>
    <w:rsid w:val="008525D6"/>
    <w:rPr>
      <w:b/>
      <w:bCs/>
    </w:rPr>
  </w:style>
  <w:style w:type="character" w:customStyle="1" w:styleId="CommentSubjectChar">
    <w:name w:val="Comment Subject Char"/>
    <w:basedOn w:val="CommentTextChar"/>
    <w:link w:val="CommentSubject"/>
    <w:rsid w:val="008525D6"/>
    <w:rPr>
      <w:b/>
      <w:bCs/>
    </w:rPr>
  </w:style>
  <w:style w:type="table" w:styleId="PlainTable3">
    <w:name w:val="Plain Table 3"/>
    <w:basedOn w:val="TableNormal"/>
    <w:uiPriority w:val="43"/>
    <w:rsid w:val="008B6B7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gency.Clerk@dep.state.fl.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p.state.fl.us/air/emission/apds/default.as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2051</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Public Notice of Intent to Issue Air Permit</vt:lpstr>
    </vt:vector>
  </TitlesOfParts>
  <Company/>
  <LinksUpToDate>false</LinksUpToDate>
  <CharactersWithSpaces>13346</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 of Intent to Issue Air Permit</dc:title>
  <dc:subject>Draft Permit</dc:subject>
  <cp:lastModifiedBy>Read, David</cp:lastModifiedBy>
  <cp:revision>3</cp:revision>
  <cp:lastPrinted>2013-06-24T17:27:00Z</cp:lastPrinted>
  <dcterms:created xsi:type="dcterms:W3CDTF">2013-06-15T21:03:00Z</dcterms:created>
  <dcterms:modified xsi:type="dcterms:W3CDTF">2014-02-26T12:57:00Z</dcterms:modified>
</cp:coreProperties>
</file>